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8F705" w14:textId="5B4291EC" w:rsidR="001E485D" w:rsidRPr="001E485D" w:rsidRDefault="001E485D">
      <w:pPr>
        <w:rPr>
          <w:b/>
          <w:sz w:val="36"/>
          <w:szCs w:val="36"/>
        </w:rPr>
      </w:pPr>
      <w:r>
        <w:rPr>
          <w:b/>
          <w:sz w:val="36"/>
          <w:szCs w:val="36"/>
        </w:rPr>
        <w:t xml:space="preserve">Chapter </w:t>
      </w:r>
      <w:r w:rsidR="00635F16">
        <w:rPr>
          <w:b/>
          <w:sz w:val="36"/>
          <w:szCs w:val="36"/>
        </w:rPr>
        <w:t>1</w:t>
      </w:r>
      <w:r w:rsidR="00307815">
        <w:rPr>
          <w:b/>
          <w:sz w:val="36"/>
          <w:szCs w:val="36"/>
        </w:rPr>
        <w:t>:</w:t>
      </w:r>
      <w:r>
        <w:rPr>
          <w:b/>
          <w:sz w:val="36"/>
          <w:szCs w:val="36"/>
        </w:rPr>
        <w:t xml:space="preserve"> </w:t>
      </w:r>
      <w:r w:rsidRPr="001E485D">
        <w:rPr>
          <w:b/>
          <w:sz w:val="36"/>
          <w:szCs w:val="36"/>
        </w:rPr>
        <w:t>The Evolving Challenge of Foodborne Outbreak Response</w:t>
      </w:r>
    </w:p>
    <w:p w14:paraId="0D495D80" w14:textId="77777777" w:rsidR="00137D03" w:rsidRDefault="00137D03">
      <w:pPr>
        <w:rPr>
          <w:b/>
          <w:sz w:val="30"/>
          <w:szCs w:val="30"/>
        </w:rPr>
      </w:pPr>
    </w:p>
    <w:p w14:paraId="58036A17" w14:textId="001DBA04" w:rsidR="007F22B3" w:rsidRPr="00CD3819" w:rsidRDefault="007F22B3">
      <w:pPr>
        <w:rPr>
          <w:b/>
          <w:sz w:val="28"/>
          <w:szCs w:val="28"/>
        </w:rPr>
      </w:pPr>
      <w:r w:rsidRPr="00CD3819">
        <w:rPr>
          <w:b/>
          <w:sz w:val="28"/>
          <w:szCs w:val="28"/>
        </w:rPr>
        <w:t>Chapter summary point:</w:t>
      </w:r>
    </w:p>
    <w:p w14:paraId="1609D012" w14:textId="4A85AC57" w:rsidR="007F22B3" w:rsidRPr="0095641F" w:rsidRDefault="007900E8" w:rsidP="00A1239C">
      <w:pPr>
        <w:pStyle w:val="ListParagraph"/>
        <w:numPr>
          <w:ilvl w:val="0"/>
          <w:numId w:val="15"/>
        </w:numPr>
        <w:ind w:left="360"/>
        <w:rPr>
          <w:sz w:val="24"/>
          <w:szCs w:val="24"/>
        </w:rPr>
      </w:pPr>
      <w:r w:rsidRPr="0095641F">
        <w:rPr>
          <w:sz w:val="24"/>
          <w:szCs w:val="24"/>
        </w:rPr>
        <w:t>This chapter provides an overview of the ever-</w:t>
      </w:r>
      <w:r w:rsidR="009331E3">
        <w:rPr>
          <w:sz w:val="24"/>
          <w:szCs w:val="24"/>
        </w:rPr>
        <w:t>evolv</w:t>
      </w:r>
      <w:r w:rsidRPr="0095641F">
        <w:rPr>
          <w:sz w:val="24"/>
          <w:szCs w:val="24"/>
        </w:rPr>
        <w:t xml:space="preserve">ing factors leading to the occurrence of outbreaks of foodborne illness and their detection, investigation, and control. </w:t>
      </w:r>
    </w:p>
    <w:p w14:paraId="55C0712F" w14:textId="51BDA4F3" w:rsidR="007540D1" w:rsidRDefault="007540D1" w:rsidP="007900E8">
      <w:pPr>
        <w:rPr>
          <w:sz w:val="30"/>
          <w:szCs w:val="30"/>
        </w:rPr>
      </w:pPr>
    </w:p>
    <w:p w14:paraId="736DD737" w14:textId="77777777" w:rsidR="00E76109" w:rsidRPr="0095641F" w:rsidRDefault="00E76109" w:rsidP="007900E8">
      <w:pPr>
        <w:rPr>
          <w:sz w:val="30"/>
          <w:szCs w:val="30"/>
        </w:rPr>
      </w:pPr>
    </w:p>
    <w:p w14:paraId="5294B371" w14:textId="77777777" w:rsidR="00BD5A72" w:rsidRDefault="00BD5A72">
      <w:pPr>
        <w:rPr>
          <w:b/>
          <w:color w:val="0070C0"/>
          <w:sz w:val="24"/>
          <w:szCs w:val="24"/>
        </w:rPr>
      </w:pPr>
      <w:r>
        <w:rPr>
          <w:b/>
          <w:color w:val="0070C0"/>
          <w:sz w:val="24"/>
          <w:szCs w:val="24"/>
        </w:rPr>
        <w:br w:type="page"/>
      </w:r>
    </w:p>
    <w:p w14:paraId="3FBFAED7" w14:textId="676CE0C4" w:rsidR="006F5088" w:rsidRDefault="00831B5F">
      <w:pPr>
        <w:rPr>
          <w:b/>
          <w:sz w:val="30"/>
          <w:szCs w:val="30"/>
        </w:rPr>
      </w:pPr>
      <w:r>
        <w:rPr>
          <w:b/>
          <w:sz w:val="30"/>
          <w:szCs w:val="30"/>
        </w:rPr>
        <w:lastRenderedPageBreak/>
        <w:t>1.0</w:t>
      </w:r>
      <w:r w:rsidR="001F5F0E">
        <w:rPr>
          <w:b/>
          <w:sz w:val="30"/>
          <w:szCs w:val="30"/>
        </w:rPr>
        <w:tab/>
        <w:t>Introduction</w:t>
      </w:r>
    </w:p>
    <w:p w14:paraId="38B66BE4" w14:textId="02E6CEAD" w:rsidR="00E76109" w:rsidRDefault="00EC5D41" w:rsidP="007F22B3">
      <w:bookmarkStart w:id="0" w:name="_gjdgxs" w:colFirst="0" w:colLast="0"/>
      <w:bookmarkEnd w:id="0"/>
      <w:r>
        <w:t xml:space="preserve">Outbreaks of foodborne </w:t>
      </w:r>
      <w:r w:rsidR="007F22B3">
        <w:t>illness and</w:t>
      </w:r>
      <w:r>
        <w:t xml:space="preserve"> their detection</w:t>
      </w:r>
      <w:r w:rsidR="007F22B3">
        <w:t xml:space="preserve">, investigation, and </w:t>
      </w:r>
      <w:r w:rsidR="00A438EA">
        <w:t xml:space="preserve">control </w:t>
      </w:r>
      <w:r>
        <w:t>are function</w:t>
      </w:r>
      <w:r w:rsidR="007F22B3">
        <w:t>s</w:t>
      </w:r>
      <w:r>
        <w:t xml:space="preserve"> of several factors </w:t>
      </w:r>
      <w:r w:rsidR="007F22B3">
        <w:t xml:space="preserve">that are </w:t>
      </w:r>
      <w:r w:rsidR="00BD5A72">
        <w:t>con</w:t>
      </w:r>
      <w:r w:rsidR="007F22B3">
        <w:t xml:space="preserve">stantly changing. </w:t>
      </w:r>
      <w:r w:rsidR="00A438EA">
        <w:t>T</w:t>
      </w:r>
      <w:r w:rsidR="001E485D">
        <w:t>he American diet</w:t>
      </w:r>
      <w:r w:rsidR="006A6732">
        <w:t xml:space="preserve"> </w:t>
      </w:r>
      <w:r w:rsidR="00A438EA">
        <w:t>has changed in response to public health recommendations, economics of food production and distribution</w:t>
      </w:r>
      <w:r w:rsidR="00493BDE">
        <w:t>,</w:t>
      </w:r>
      <w:r w:rsidR="00A438EA">
        <w:t xml:space="preserve"> and </w:t>
      </w:r>
      <w:r w:rsidR="00EF5DD7">
        <w:t xml:space="preserve">the </w:t>
      </w:r>
      <w:r w:rsidR="00A438EA">
        <w:t>growing demand</w:t>
      </w:r>
      <w:r w:rsidR="00EF5DD7">
        <w:t>s</w:t>
      </w:r>
      <w:r w:rsidR="00A438EA">
        <w:t xml:space="preserve"> for convenience in food service</w:t>
      </w:r>
      <w:r w:rsidR="00044565">
        <w:t>,</w:t>
      </w:r>
      <w:r w:rsidR="00A438EA">
        <w:t xml:space="preserve"> </w:t>
      </w:r>
      <w:r w:rsidR="00493BDE">
        <w:t>as well as</w:t>
      </w:r>
      <w:r w:rsidR="00A438EA">
        <w:t xml:space="preserve"> diversity and freshness of foods in the marketplace. Impor</w:t>
      </w:r>
      <w:r w:rsidR="007900E8">
        <w:t xml:space="preserve">tant advances have been made in clinical laboratory techniques to diagnose foodborne illnesses and in public health approaches to </w:t>
      </w:r>
      <w:r w:rsidR="00C36C40">
        <w:t>detect and investigat</w:t>
      </w:r>
      <w:r w:rsidR="007900E8">
        <w:t>e</w:t>
      </w:r>
      <w:r w:rsidR="00C36C40">
        <w:t xml:space="preserve"> clusters of illness</w:t>
      </w:r>
      <w:r w:rsidR="007900E8">
        <w:t xml:space="preserve">. Information systems are developing to enhance our ability </w:t>
      </w:r>
      <w:r w:rsidR="00C36C40">
        <w:t xml:space="preserve">to trace and eliminate contaminated food from circulation and to glean lessons learned </w:t>
      </w:r>
      <w:r w:rsidR="007900E8">
        <w:t xml:space="preserve">from these investigations </w:t>
      </w:r>
      <w:r w:rsidR="00C36C40">
        <w:t>to prevent similar outbreaks in the future.</w:t>
      </w:r>
      <w:r>
        <w:t xml:space="preserve"> </w:t>
      </w:r>
    </w:p>
    <w:p w14:paraId="37A343E6" w14:textId="4CA72388" w:rsidR="006F5088" w:rsidRPr="0095641F" w:rsidRDefault="001F490A" w:rsidP="007F22B3">
      <w:r>
        <w:t>This chapter provides an overview of these ever-changing factors</w:t>
      </w:r>
      <w:r w:rsidR="007900E8">
        <w:t xml:space="preserve">. </w:t>
      </w:r>
      <w:r>
        <w:t xml:space="preserve"> </w:t>
      </w:r>
      <w:r w:rsidR="007900E8">
        <w:t xml:space="preserve">Specific approaches used by </w:t>
      </w:r>
      <w:r>
        <w:t>investigators are detailed in subsequent chapters</w:t>
      </w:r>
      <w:r w:rsidR="001E485D">
        <w:t>.</w:t>
      </w:r>
      <w:r w:rsidR="001F5F0E">
        <w:br/>
      </w:r>
    </w:p>
    <w:p w14:paraId="0D70A793" w14:textId="430AFDDC" w:rsidR="006F5088" w:rsidRDefault="00831B5F">
      <w:pPr>
        <w:rPr>
          <w:b/>
          <w:sz w:val="28"/>
          <w:szCs w:val="28"/>
        </w:rPr>
      </w:pPr>
      <w:r>
        <w:rPr>
          <w:b/>
          <w:sz w:val="28"/>
          <w:szCs w:val="28"/>
        </w:rPr>
        <w:t>1</w:t>
      </w:r>
      <w:r w:rsidR="007F22B3">
        <w:rPr>
          <w:b/>
          <w:sz w:val="28"/>
          <w:szCs w:val="28"/>
        </w:rPr>
        <w:t>.1</w:t>
      </w:r>
      <w:r w:rsidR="001F5F0E">
        <w:rPr>
          <w:b/>
          <w:sz w:val="28"/>
          <w:szCs w:val="28"/>
        </w:rPr>
        <w:tab/>
        <w:t>The Burden of Foodborne Illness in the United States</w:t>
      </w:r>
    </w:p>
    <w:p w14:paraId="47B5888F" w14:textId="7999E262" w:rsidR="002D3E42" w:rsidRDefault="00831B5F">
      <w:r>
        <w:rPr>
          <w:b/>
        </w:rPr>
        <w:t>1</w:t>
      </w:r>
      <w:r w:rsidR="00003736" w:rsidRPr="007F22B3">
        <w:rPr>
          <w:b/>
        </w:rPr>
        <w:t>.1.1</w:t>
      </w:r>
      <w:r w:rsidR="00003736" w:rsidRPr="007F22B3">
        <w:rPr>
          <w:b/>
          <w:sz w:val="26"/>
          <w:szCs w:val="26"/>
        </w:rPr>
        <w:t xml:space="preserve"> </w:t>
      </w:r>
      <w:r w:rsidR="001F5F0E" w:rsidRPr="007F22B3">
        <w:rPr>
          <w:b/>
        </w:rPr>
        <w:t xml:space="preserve">In 2011, CDC estimated that </w:t>
      </w:r>
      <w:r w:rsidR="009112E3" w:rsidRPr="007F22B3">
        <w:rPr>
          <w:b/>
        </w:rPr>
        <w:t>each year in the United States,</w:t>
      </w:r>
      <w:r w:rsidR="001F5F0E" w:rsidRPr="007F22B3">
        <w:rPr>
          <w:b/>
        </w:rPr>
        <w:t xml:space="preserve"> 47.8 million illnesses, resulting in 128,000 hospitalizations and 3,000 deaths</w:t>
      </w:r>
      <w:r w:rsidR="0090426A" w:rsidRPr="007F22B3">
        <w:rPr>
          <w:b/>
        </w:rPr>
        <w:t>, were attributable to contaminated food</w:t>
      </w:r>
      <w:r w:rsidR="001F5F0E" w:rsidRPr="007F22B3">
        <w:rPr>
          <w:b/>
        </w:rPr>
        <w:t>.</w:t>
      </w:r>
      <w:r w:rsidR="001F5F0E">
        <w:t xml:space="preserve"> Of the</w:t>
      </w:r>
      <w:r w:rsidR="0090426A">
        <w:t>se</w:t>
      </w:r>
      <w:r w:rsidR="004404B8">
        <w:t xml:space="preserve"> illnesses</w:t>
      </w:r>
      <w:r w:rsidR="001F5F0E">
        <w:t>, 9.4 million are caused by 31 known agents of foodborne disease and the remain</w:t>
      </w:r>
      <w:r w:rsidR="0090426A">
        <w:t xml:space="preserve">ing </w:t>
      </w:r>
      <w:r w:rsidR="001F5F0E">
        <w:t xml:space="preserve">38.4 million by unspecified agents. </w:t>
      </w:r>
      <w:r w:rsidR="00EF5DD7">
        <w:t xml:space="preserve">It is not currently possible to track overall changes in the burden of foodborne illness from year to year, but there </w:t>
      </w:r>
      <w:r w:rsidR="004043DF">
        <w:t xml:space="preserve">are </w:t>
      </w:r>
      <w:r w:rsidR="00EF5DD7">
        <w:t xml:space="preserve">notable trends in the occurrence of known foodborne illnesses tracked by </w:t>
      </w:r>
      <w:proofErr w:type="spellStart"/>
      <w:r w:rsidR="00EF5DD7">
        <w:t>FoodNET</w:t>
      </w:r>
      <w:proofErr w:type="spellEnd"/>
      <w:r w:rsidR="00E76109">
        <w:t xml:space="preserve"> (</w:t>
      </w:r>
      <w:hyperlink r:id="rId8" w:history="1">
        <w:r w:rsidR="00E76109" w:rsidRPr="002A0507">
          <w:rPr>
            <w:rStyle w:val="Hyperlink"/>
          </w:rPr>
          <w:t>https://wwwn.cdc.gov/foodnetfast</w:t>
        </w:r>
      </w:hyperlink>
      <w:r w:rsidR="00E76109">
        <w:t>).</w:t>
      </w:r>
      <w:r w:rsidR="00EF5DD7">
        <w:t xml:space="preserve"> </w:t>
      </w:r>
      <w:r w:rsidR="00D527A9">
        <w:t xml:space="preserve">Most notably, the incidence of </w:t>
      </w:r>
      <w:r w:rsidR="00D527A9" w:rsidRPr="0095641F">
        <w:rPr>
          <w:i/>
        </w:rPr>
        <w:t>E. coli</w:t>
      </w:r>
      <w:r w:rsidR="00D527A9">
        <w:t xml:space="preserve"> O157:H7 </w:t>
      </w:r>
      <w:r w:rsidR="004043DF">
        <w:t xml:space="preserve">infections </w:t>
      </w:r>
      <w:r w:rsidR="00D527A9">
        <w:t xml:space="preserve">dropped from around 2.5 cases per 100,000 population in the mid-1990s to less than 1 case per 100,000 by the mid-2000s, accomplishing </w:t>
      </w:r>
      <w:r w:rsidR="00A32E05">
        <w:t>a</w:t>
      </w:r>
      <w:r w:rsidR="00D527A9">
        <w:t xml:space="preserve"> goal of Healthy People 2010. Following early declines in the incidence of </w:t>
      </w:r>
      <w:r w:rsidR="00D527A9" w:rsidRPr="0095641F">
        <w:rPr>
          <w:i/>
        </w:rPr>
        <w:t>Listeria</w:t>
      </w:r>
      <w:r w:rsidR="00D527A9">
        <w:t xml:space="preserve"> and </w:t>
      </w:r>
      <w:r w:rsidR="00D527A9" w:rsidRPr="0095641F">
        <w:rPr>
          <w:i/>
        </w:rPr>
        <w:t>Campylobacter</w:t>
      </w:r>
      <w:r w:rsidR="004043DF">
        <w:t xml:space="preserve"> infections</w:t>
      </w:r>
      <w:proofErr w:type="gramStart"/>
      <w:r w:rsidR="004043DF">
        <w:t xml:space="preserve">, </w:t>
      </w:r>
      <w:r w:rsidR="00D527A9">
        <w:t xml:space="preserve"> rates</w:t>
      </w:r>
      <w:proofErr w:type="gramEnd"/>
      <w:r w:rsidR="00D527A9">
        <w:t xml:space="preserve"> remained stable throughout the 2,000s, while the inciden</w:t>
      </w:r>
      <w:r w:rsidR="00A4627B">
        <w:t xml:space="preserve">ce of </w:t>
      </w:r>
      <w:r w:rsidR="00A4627B" w:rsidRPr="0095641F">
        <w:rPr>
          <w:i/>
        </w:rPr>
        <w:t>Vibrio</w:t>
      </w:r>
      <w:r w:rsidR="00A4627B">
        <w:t xml:space="preserve"> infections increased.</w:t>
      </w:r>
      <w:r w:rsidR="00D527A9">
        <w:t xml:space="preserve"> </w:t>
      </w:r>
      <w:r w:rsidR="00A4627B">
        <w:t xml:space="preserve"> While overall rates of </w:t>
      </w:r>
      <w:r w:rsidR="00A4627B" w:rsidRPr="0095641F">
        <w:rPr>
          <w:i/>
        </w:rPr>
        <w:t xml:space="preserve">Salmonella </w:t>
      </w:r>
      <w:r w:rsidR="004043DF" w:rsidRPr="004043DF">
        <w:t>infections</w:t>
      </w:r>
      <w:r w:rsidR="004043DF">
        <w:rPr>
          <w:i/>
        </w:rPr>
        <w:t xml:space="preserve"> </w:t>
      </w:r>
      <w:r w:rsidR="00A4627B">
        <w:t xml:space="preserve">remained stable, </w:t>
      </w:r>
      <w:r w:rsidR="00A4796E">
        <w:t>t</w:t>
      </w:r>
      <w:r w:rsidR="00A32E05">
        <w:t xml:space="preserve">he incidence of serotypes Typhimurium and Heidelberg have decreased while serotypes </w:t>
      </w:r>
      <w:proofErr w:type="spellStart"/>
      <w:r w:rsidR="00A32E05">
        <w:t>Enteritidis</w:t>
      </w:r>
      <w:proofErr w:type="spellEnd"/>
      <w:r w:rsidR="00A32E05">
        <w:t xml:space="preserve">, </w:t>
      </w:r>
      <w:proofErr w:type="spellStart"/>
      <w:r w:rsidR="00A32E05">
        <w:t>Javiana</w:t>
      </w:r>
      <w:proofErr w:type="spellEnd"/>
      <w:r w:rsidR="00A32E05">
        <w:t xml:space="preserve"> and the monophasic variant of Typhimurium, I 4,[5],12:i-, have increased</w:t>
      </w:r>
      <w:r w:rsidR="00E76109">
        <w:t>.</w:t>
      </w:r>
    </w:p>
    <w:p w14:paraId="7830573B" w14:textId="34726F58" w:rsidR="00B14D41" w:rsidRDefault="00911164">
      <w:r>
        <w:t xml:space="preserve">Because not all illnesses caused by foodborne pathogens are </w:t>
      </w:r>
      <w:r w:rsidR="00E76109">
        <w:t xml:space="preserve">individually </w:t>
      </w:r>
      <w:r>
        <w:t xml:space="preserve">reportable, </w:t>
      </w:r>
      <w:r w:rsidR="004043DF">
        <w:t xml:space="preserve">recognition of </w:t>
      </w:r>
      <w:r>
        <w:t>o</w:t>
      </w:r>
      <w:r w:rsidR="00F76E70">
        <w:t xml:space="preserve">ther pathogen-specific trends </w:t>
      </w:r>
      <w:r w:rsidR="004043DF">
        <w:t>rely on</w:t>
      </w:r>
      <w:r w:rsidR="00F76E70">
        <w:t xml:space="preserve"> surveillance of foodborne outbreaks (</w:t>
      </w:r>
      <w:hyperlink r:id="rId9" w:history="1">
        <w:r w:rsidR="00F76E70" w:rsidRPr="002A0507">
          <w:rPr>
            <w:rStyle w:val="Hyperlink"/>
          </w:rPr>
          <w:t>https://wwwn.cdc.gov/norsdashboard/</w:t>
        </w:r>
      </w:hyperlink>
      <w:r w:rsidR="00F76E70">
        <w:t xml:space="preserve">). </w:t>
      </w:r>
      <w:r w:rsidR="002D3E42" w:rsidRPr="002D3E42">
        <w:t xml:space="preserve">CDC’s National Outbreaks Reporting System (“NORS”) logged </w:t>
      </w:r>
      <w:r w:rsidR="002D3E42">
        <w:t>20,015</w:t>
      </w:r>
      <w:r w:rsidR="002D3E42" w:rsidRPr="002D3E42">
        <w:t xml:space="preserve"> outbreaks comprising 388,</w:t>
      </w:r>
      <w:r w:rsidR="002D3E42">
        <w:t>639</w:t>
      </w:r>
      <w:r w:rsidR="002D3E42" w:rsidRPr="002D3E42">
        <w:t xml:space="preserve"> illnesses</w:t>
      </w:r>
      <w:r w:rsidR="002D3E42">
        <w:t xml:space="preserve">, 15,695 hospitalizations and 371 deaths from </w:t>
      </w:r>
      <w:r w:rsidR="002D3E42" w:rsidRPr="002D3E42">
        <w:t xml:space="preserve">1998–2016. A comparison of etiologies causing single-agent outbreaks during the most recent 5-year period (2012–2016) with those during the preceding 10 years (2002–2011) </w:t>
      </w:r>
      <w:r w:rsidR="002D3E42">
        <w:t>showed</w:t>
      </w:r>
      <w:r w:rsidR="002D3E42" w:rsidRPr="002D3E42">
        <w:t xml:space="preserve"> that outbreaks caused by agents associated with poor food-holding practices </w:t>
      </w:r>
      <w:r w:rsidR="002D5B39">
        <w:t xml:space="preserve">in commercial food service </w:t>
      </w:r>
      <w:r w:rsidR="002D3E42" w:rsidRPr="002D3E42">
        <w:t xml:space="preserve">have decreased: </w:t>
      </w:r>
      <w:r w:rsidR="002D3E42" w:rsidRPr="0095641F">
        <w:rPr>
          <w:i/>
        </w:rPr>
        <w:t>Bacillus cereus</w:t>
      </w:r>
      <w:r w:rsidR="002D3E42" w:rsidRPr="002D3E42">
        <w:t xml:space="preserve">, down from an average of 17 </w:t>
      </w:r>
      <w:r w:rsidR="004043DF">
        <w:t xml:space="preserve">outbreaks </w:t>
      </w:r>
      <w:r w:rsidR="002D3E42" w:rsidRPr="002D3E42">
        <w:t xml:space="preserve">per year to 10 per year; </w:t>
      </w:r>
      <w:r w:rsidR="002D3E42" w:rsidRPr="0095641F">
        <w:rPr>
          <w:i/>
        </w:rPr>
        <w:t>Clostridium perfringens</w:t>
      </w:r>
      <w:r w:rsidR="002D3E42" w:rsidRPr="002D3E42">
        <w:t xml:space="preserve">, from 40 to 30 per year; </w:t>
      </w:r>
      <w:proofErr w:type="spellStart"/>
      <w:r w:rsidR="002D3E42" w:rsidRPr="002D3E42">
        <w:t>scombroid</w:t>
      </w:r>
      <w:proofErr w:type="spellEnd"/>
      <w:r w:rsidR="002D3E42" w:rsidRPr="002D3E42">
        <w:t xml:space="preserve"> or histamine, from 23 to 17 per year; and </w:t>
      </w:r>
      <w:r w:rsidR="002D3E42" w:rsidRPr="0095641F">
        <w:rPr>
          <w:i/>
        </w:rPr>
        <w:t>Staphylococcus aureus</w:t>
      </w:r>
      <w:r w:rsidR="002D3E42" w:rsidRPr="002D3E42">
        <w:t>, from 27 to 12 per year.</w:t>
      </w:r>
      <w:r w:rsidR="00B14D41">
        <w:t xml:space="preserve"> </w:t>
      </w:r>
      <w:r w:rsidR="002D3E42" w:rsidRPr="002D3E42">
        <w:t xml:space="preserve">These changes </w:t>
      </w:r>
      <w:r w:rsidR="002D5B39">
        <w:t>likely</w:t>
      </w:r>
      <w:r w:rsidR="002D3E42" w:rsidRPr="002D3E42">
        <w:t xml:space="preserve"> represent</w:t>
      </w:r>
      <w:r w:rsidR="00B14D41">
        <w:t xml:space="preserve"> actual</w:t>
      </w:r>
      <w:r w:rsidR="002D3E42" w:rsidRPr="002D3E42">
        <w:t xml:space="preserve"> </w:t>
      </w:r>
      <w:r w:rsidR="008F0FB6">
        <w:t>reductions</w:t>
      </w:r>
      <w:r w:rsidR="002D3E42" w:rsidRPr="002D3E42">
        <w:t xml:space="preserve"> in outbreak </w:t>
      </w:r>
      <w:r w:rsidR="00B14D41">
        <w:t>occurrence</w:t>
      </w:r>
      <w:r w:rsidR="002D5B39">
        <w:t>, since</w:t>
      </w:r>
      <w:r w:rsidR="008F0FB6">
        <w:t xml:space="preserve"> the percentage of outbreaks </w:t>
      </w:r>
      <w:r w:rsidR="004043DF">
        <w:t xml:space="preserve">for </w:t>
      </w:r>
      <w:r w:rsidR="008F0FB6">
        <w:t>which n</w:t>
      </w:r>
      <w:r w:rsidR="002D3E42" w:rsidRPr="002D3E42">
        <w:t xml:space="preserve">o etiologic agent was identified </w:t>
      </w:r>
      <w:r w:rsidR="008F0FB6">
        <w:t>dropped from 59% i</w:t>
      </w:r>
      <w:r w:rsidR="002D3E42" w:rsidRPr="002D3E42">
        <w:t>n</w:t>
      </w:r>
      <w:r w:rsidR="008F0FB6">
        <w:t xml:space="preserve"> 1998 to 21</w:t>
      </w:r>
      <w:r w:rsidR="002D3E42" w:rsidRPr="002D3E42">
        <w:t xml:space="preserve">% of outbreaks reported </w:t>
      </w:r>
      <w:r w:rsidR="008F0FB6">
        <w:t>in 2016</w:t>
      </w:r>
      <w:r w:rsidR="002D3E42" w:rsidRPr="002D3E42">
        <w:t xml:space="preserve">. </w:t>
      </w:r>
    </w:p>
    <w:p w14:paraId="7FE6FB57" w14:textId="252665A7" w:rsidR="006F5088" w:rsidRDefault="0096342B">
      <w:r>
        <w:rPr>
          <w:b/>
        </w:rPr>
        <w:lastRenderedPageBreak/>
        <w:t>1.1</w:t>
      </w:r>
      <w:r w:rsidR="00B14D41" w:rsidRPr="0095641F">
        <w:rPr>
          <w:b/>
        </w:rPr>
        <w:t>.2</w:t>
      </w:r>
      <w:r w:rsidR="002A3068" w:rsidRPr="0095641F">
        <w:rPr>
          <w:b/>
        </w:rPr>
        <w:t xml:space="preserve"> </w:t>
      </w:r>
      <w:r w:rsidR="001F5F0E" w:rsidRPr="0095641F">
        <w:rPr>
          <w:b/>
        </w:rPr>
        <w:t>In 2014, the United States Department of Agriculture</w:t>
      </w:r>
      <w:r w:rsidR="00AE1F7B" w:rsidRPr="0095641F">
        <w:rPr>
          <w:b/>
        </w:rPr>
        <w:t>’s</w:t>
      </w:r>
      <w:r w:rsidR="001F5F0E" w:rsidRPr="0095641F">
        <w:rPr>
          <w:b/>
        </w:rPr>
        <w:t xml:space="preserve"> Economic Research Service (</w:t>
      </w:r>
      <w:r w:rsidR="007E71C1" w:rsidRPr="0095641F">
        <w:rPr>
          <w:b/>
        </w:rPr>
        <w:t>USDA-</w:t>
      </w:r>
      <w:r w:rsidR="001F5F0E" w:rsidRPr="0095641F">
        <w:rPr>
          <w:b/>
        </w:rPr>
        <w:t xml:space="preserve">ERS) </w:t>
      </w:r>
      <w:r w:rsidR="00AE1F7B" w:rsidRPr="0095641F">
        <w:rPr>
          <w:b/>
        </w:rPr>
        <w:t>estimated the average annual economic burden</w:t>
      </w:r>
      <w:r w:rsidR="002A3068" w:rsidRPr="0095641F">
        <w:rPr>
          <w:b/>
        </w:rPr>
        <w:t xml:space="preserve"> of foodborne illness</w:t>
      </w:r>
      <w:r w:rsidR="00394EAC" w:rsidRPr="0095641F">
        <w:rPr>
          <w:b/>
        </w:rPr>
        <w:t xml:space="preserve"> </w:t>
      </w:r>
      <w:r w:rsidR="002A3068" w:rsidRPr="0095641F">
        <w:rPr>
          <w:b/>
        </w:rPr>
        <w:t>at</w:t>
      </w:r>
      <w:r w:rsidR="00AE1F7B" w:rsidRPr="0095641F">
        <w:rPr>
          <w:b/>
        </w:rPr>
        <w:t xml:space="preserve"> $15.5 billion</w:t>
      </w:r>
      <w:r w:rsidR="00B92BC6" w:rsidRPr="0095641F">
        <w:rPr>
          <w:b/>
        </w:rPr>
        <w:t>.</w:t>
      </w:r>
      <w:r w:rsidR="00B55031">
        <w:t xml:space="preserve"> </w:t>
      </w:r>
      <w:r w:rsidR="007E71C1">
        <w:t>USDA-</w:t>
      </w:r>
      <w:r w:rsidR="00B55031">
        <w:t>ERS based this burden</w:t>
      </w:r>
      <w:r w:rsidR="001F5F0E">
        <w:t xml:space="preserve"> on cost estimates of foodborne illness caused by 15 major pathogens in the United States.</w:t>
      </w:r>
      <w:r w:rsidR="009330F0">
        <w:t xml:space="preserve"> </w:t>
      </w:r>
      <w:r w:rsidR="001F5F0E">
        <w:t xml:space="preserve">These 15 pathogens account for 95% of the illnesses and deaths from foodborne illness acquired in the United States for which a pathogen was identified. These estimates include costs associated with acute and chronic illness medical costs as well as costs associated </w:t>
      </w:r>
      <w:r w:rsidR="004043DF">
        <w:t xml:space="preserve">with </w:t>
      </w:r>
      <w:r w:rsidR="001F5F0E">
        <w:t xml:space="preserve">lost wages for those that recovered and estimates of the costs associated with premature deaths. </w:t>
      </w:r>
    </w:p>
    <w:p w14:paraId="0796067D" w14:textId="5D8EC391" w:rsidR="006F5088" w:rsidRDefault="001E485D">
      <w:r>
        <w:t xml:space="preserve">Table </w:t>
      </w:r>
      <w:r w:rsidR="00831B5F">
        <w:t>1</w:t>
      </w:r>
      <w:r>
        <w:t>.1 E</w:t>
      </w:r>
      <w:r w:rsidRPr="001E485D">
        <w:t xml:space="preserve">stimated annual cost of illness, </w:t>
      </w:r>
      <w:r w:rsidR="00EE69D8">
        <w:t>total number of</w:t>
      </w:r>
      <w:r w:rsidR="00EE69D8" w:rsidRPr="001E485D">
        <w:t xml:space="preserve"> </w:t>
      </w:r>
      <w:r w:rsidRPr="001E485D">
        <w:t>cases</w:t>
      </w:r>
      <w:r w:rsidR="00394EAC">
        <w:t xml:space="preserve"> identified,</w:t>
      </w:r>
      <w:r w:rsidRPr="001E485D">
        <w:t xml:space="preserve"> and average cost per case identified.</w:t>
      </w:r>
    </w:p>
    <w:tbl>
      <w:tblPr>
        <w:tblW w:w="868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765"/>
        <w:gridCol w:w="1710"/>
        <w:gridCol w:w="1710"/>
        <w:gridCol w:w="1500"/>
      </w:tblGrid>
      <w:tr w:rsidR="00B509FF" w:rsidRPr="00791D2E" w14:paraId="15E48107" w14:textId="77777777" w:rsidTr="00425152">
        <w:trPr>
          <w:trHeight w:val="745"/>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7C4526E4" w14:textId="77777777" w:rsidR="00493BDE" w:rsidRPr="0095641F" w:rsidRDefault="00493BDE" w:rsidP="00F2483E">
            <w:pPr>
              <w:widowControl w:val="0"/>
              <w:spacing w:after="0" w:line="276" w:lineRule="auto"/>
              <w:jc w:val="center"/>
              <w:rPr>
                <w:rFonts w:asciiTheme="majorHAnsi" w:hAnsiTheme="majorHAnsi" w:cstheme="majorHAnsi"/>
                <w:sz w:val="28"/>
                <w:szCs w:val="28"/>
              </w:rPr>
            </w:pPr>
          </w:p>
          <w:p w14:paraId="4F8B74A1" w14:textId="77777777" w:rsidR="00B509FF" w:rsidRPr="0095641F" w:rsidRDefault="00B509FF">
            <w:pPr>
              <w:widowControl w:val="0"/>
              <w:spacing w:after="0" w:line="276" w:lineRule="auto"/>
              <w:jc w:val="center"/>
              <w:rPr>
                <w:rFonts w:asciiTheme="majorHAnsi" w:eastAsiaTheme="minorHAnsi" w:hAnsiTheme="majorHAnsi" w:cstheme="majorHAnsi"/>
                <w:color w:val="auto"/>
                <w:sz w:val="28"/>
                <w:szCs w:val="28"/>
              </w:rPr>
            </w:pPr>
            <w:r w:rsidRPr="0095641F">
              <w:rPr>
                <w:rFonts w:asciiTheme="majorHAnsi" w:eastAsiaTheme="minorHAnsi" w:hAnsiTheme="majorHAnsi" w:cstheme="majorHAnsi"/>
                <w:color w:val="auto"/>
                <w:sz w:val="28"/>
                <w:szCs w:val="28"/>
              </w:rPr>
              <w:t>Pathogen</w:t>
            </w:r>
          </w:p>
        </w:tc>
        <w:tc>
          <w:tcPr>
            <w:tcW w:w="1710" w:type="dxa"/>
            <w:tcBorders>
              <w:top w:val="single" w:sz="4" w:space="0" w:color="000000"/>
              <w:left w:val="nil"/>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34062BBE" w14:textId="77777777" w:rsidR="00B509FF" w:rsidRPr="0095641F" w:rsidRDefault="00B509FF" w:rsidP="00F2483E">
            <w:pPr>
              <w:widowControl w:val="0"/>
              <w:spacing w:after="0" w:line="276" w:lineRule="auto"/>
              <w:jc w:val="center"/>
              <w:rPr>
                <w:rFonts w:asciiTheme="majorHAnsi" w:hAnsiTheme="majorHAnsi" w:cstheme="majorHAnsi"/>
                <w:sz w:val="28"/>
                <w:szCs w:val="28"/>
              </w:rPr>
            </w:pPr>
          </w:p>
          <w:p w14:paraId="6BC8D709" w14:textId="77777777" w:rsidR="00B509FF" w:rsidRPr="0095641F" w:rsidRDefault="00B509FF" w:rsidP="00F2483E">
            <w:pPr>
              <w:widowControl w:val="0"/>
              <w:spacing w:after="0" w:line="276" w:lineRule="auto"/>
              <w:jc w:val="center"/>
              <w:rPr>
                <w:rFonts w:asciiTheme="majorHAnsi" w:eastAsiaTheme="minorHAnsi" w:hAnsiTheme="majorHAnsi" w:cstheme="majorHAnsi"/>
                <w:color w:val="auto"/>
                <w:sz w:val="28"/>
                <w:szCs w:val="28"/>
              </w:rPr>
            </w:pPr>
            <w:r w:rsidRPr="0095641F">
              <w:rPr>
                <w:rFonts w:asciiTheme="majorHAnsi" w:eastAsiaTheme="minorHAnsi" w:hAnsiTheme="majorHAnsi" w:cstheme="majorHAnsi"/>
                <w:color w:val="auto"/>
                <w:sz w:val="28"/>
                <w:szCs w:val="28"/>
              </w:rPr>
              <w:t>Total Cost</w:t>
            </w:r>
          </w:p>
        </w:tc>
        <w:tc>
          <w:tcPr>
            <w:tcW w:w="1710" w:type="dxa"/>
            <w:tcBorders>
              <w:top w:val="single" w:sz="4" w:space="0" w:color="000000"/>
              <w:left w:val="nil"/>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12EE6B42" w14:textId="77777777" w:rsidR="00B509FF" w:rsidRPr="0095641F" w:rsidRDefault="00B509FF" w:rsidP="00F2483E">
            <w:pPr>
              <w:widowControl w:val="0"/>
              <w:spacing w:after="0" w:line="276" w:lineRule="auto"/>
              <w:jc w:val="center"/>
              <w:rPr>
                <w:rFonts w:asciiTheme="majorHAnsi" w:hAnsiTheme="majorHAnsi" w:cstheme="majorHAnsi"/>
                <w:sz w:val="28"/>
                <w:szCs w:val="28"/>
              </w:rPr>
            </w:pPr>
            <w:r w:rsidRPr="0095641F">
              <w:rPr>
                <w:rFonts w:asciiTheme="majorHAnsi" w:eastAsiaTheme="minorHAnsi" w:hAnsiTheme="majorHAnsi" w:cstheme="majorHAnsi"/>
                <w:color w:val="auto"/>
                <w:sz w:val="28"/>
                <w:szCs w:val="28"/>
              </w:rPr>
              <w:t>Total Cases</w:t>
            </w:r>
          </w:p>
          <w:p w14:paraId="5F958789" w14:textId="77777777" w:rsidR="00B509FF" w:rsidRPr="0095641F" w:rsidRDefault="00B509FF" w:rsidP="00F2483E">
            <w:pPr>
              <w:widowControl w:val="0"/>
              <w:spacing w:after="0" w:line="276" w:lineRule="auto"/>
              <w:jc w:val="center"/>
              <w:rPr>
                <w:rFonts w:asciiTheme="majorHAnsi" w:eastAsiaTheme="minorHAnsi" w:hAnsiTheme="majorHAnsi" w:cstheme="majorHAnsi"/>
                <w:color w:val="auto"/>
                <w:sz w:val="28"/>
                <w:szCs w:val="28"/>
              </w:rPr>
            </w:pPr>
            <w:r w:rsidRPr="0095641F">
              <w:rPr>
                <w:rFonts w:asciiTheme="majorHAnsi" w:hAnsiTheme="majorHAnsi" w:cstheme="majorHAnsi"/>
                <w:sz w:val="28"/>
                <w:szCs w:val="28"/>
              </w:rPr>
              <w:t>Identified</w:t>
            </w:r>
          </w:p>
        </w:tc>
        <w:tc>
          <w:tcPr>
            <w:tcW w:w="1500" w:type="dxa"/>
            <w:tcBorders>
              <w:top w:val="single" w:sz="4" w:space="0" w:color="000000"/>
              <w:left w:val="nil"/>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067D7454" w14:textId="2881950E" w:rsidR="00B509FF" w:rsidRPr="0095641F" w:rsidRDefault="00B509FF" w:rsidP="00F2483E">
            <w:pPr>
              <w:widowControl w:val="0"/>
              <w:spacing w:after="0" w:line="276" w:lineRule="auto"/>
              <w:jc w:val="center"/>
              <w:rPr>
                <w:rFonts w:asciiTheme="majorHAnsi" w:eastAsiaTheme="minorHAnsi" w:hAnsiTheme="majorHAnsi" w:cstheme="majorHAnsi"/>
                <w:color w:val="auto"/>
                <w:sz w:val="28"/>
                <w:szCs w:val="28"/>
              </w:rPr>
            </w:pPr>
            <w:r w:rsidRPr="0095641F">
              <w:rPr>
                <w:rFonts w:asciiTheme="majorHAnsi" w:eastAsiaTheme="minorHAnsi" w:hAnsiTheme="majorHAnsi" w:cstheme="majorHAnsi"/>
                <w:color w:val="auto"/>
                <w:sz w:val="28"/>
                <w:szCs w:val="28"/>
              </w:rPr>
              <w:t>Cost per Case</w:t>
            </w:r>
          </w:p>
        </w:tc>
      </w:tr>
      <w:tr w:rsidR="00B509FF" w:rsidRPr="00791D2E" w14:paraId="66FD1D47" w14:textId="77777777" w:rsidTr="00425152">
        <w:trPr>
          <w:trHeight w:val="286"/>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7A369A18" w14:textId="77777777" w:rsidR="00B509FF" w:rsidRPr="0095641F" w:rsidRDefault="00B509FF" w:rsidP="00F2483E">
            <w:pPr>
              <w:widowControl w:val="0"/>
              <w:spacing w:after="0" w:line="276" w:lineRule="auto"/>
              <w:rPr>
                <w:rFonts w:asciiTheme="majorHAnsi" w:eastAsiaTheme="minorHAnsi" w:hAnsiTheme="majorHAnsi" w:cstheme="majorHAnsi"/>
                <w:i/>
                <w:color w:val="auto"/>
              </w:rPr>
            </w:pPr>
            <w:r w:rsidRPr="0095641F">
              <w:rPr>
                <w:rFonts w:asciiTheme="majorHAnsi" w:hAnsiTheme="majorHAnsi" w:cstheme="majorHAnsi"/>
                <w:i/>
              </w:rPr>
              <w:t xml:space="preserve">Vibrio </w:t>
            </w:r>
            <w:proofErr w:type="spellStart"/>
            <w:r w:rsidRPr="0095641F">
              <w:rPr>
                <w:rFonts w:asciiTheme="majorHAnsi" w:hAnsiTheme="majorHAnsi" w:cstheme="majorHAnsi"/>
                <w:i/>
              </w:rPr>
              <w:t>v</w:t>
            </w:r>
            <w:r w:rsidRPr="0095641F">
              <w:rPr>
                <w:rFonts w:asciiTheme="majorHAnsi" w:eastAsiaTheme="minorHAnsi" w:hAnsiTheme="majorHAnsi" w:cstheme="majorHAnsi"/>
                <w:i/>
                <w:color w:val="auto"/>
              </w:rPr>
              <w:t>ulnificus</w:t>
            </w:r>
            <w:proofErr w:type="spellEnd"/>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1BC27F89" w14:textId="46A22C6B"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$319,</w:t>
            </w:r>
            <w:r w:rsidR="00425152">
              <w:rPr>
                <w:rFonts w:asciiTheme="majorHAnsi" w:eastAsiaTheme="minorHAnsi" w:hAnsiTheme="majorHAnsi" w:cstheme="majorHAnsi"/>
                <w:color w:val="auto"/>
              </w:rPr>
              <w:t>900,000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0FA36524"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96</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0A6BDCAA" w14:textId="333E0D36" w:rsidR="00B509FF" w:rsidRPr="0095641F" w:rsidRDefault="00425152" w:rsidP="00425152">
            <w:pPr>
              <w:widowControl w:val="0"/>
              <w:spacing w:after="0" w:line="276" w:lineRule="auto"/>
              <w:rPr>
                <w:rFonts w:asciiTheme="majorHAnsi" w:eastAsiaTheme="minorHAnsi" w:hAnsiTheme="majorHAnsi" w:cstheme="majorHAnsi"/>
                <w:color w:val="auto"/>
              </w:rPr>
            </w:pPr>
            <w:r>
              <w:rPr>
                <w:rFonts w:asciiTheme="majorHAnsi" w:eastAsiaTheme="minorHAnsi" w:hAnsiTheme="majorHAnsi" w:cstheme="majorHAnsi"/>
                <w:color w:val="auto"/>
              </w:rPr>
              <w:t>$3,334,000</w:t>
            </w:r>
          </w:p>
        </w:tc>
      </w:tr>
      <w:tr w:rsidR="00B509FF" w:rsidRPr="00791D2E" w14:paraId="3C8E7E80" w14:textId="77777777" w:rsidTr="00425152">
        <w:trPr>
          <w:trHeight w:val="403"/>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17591D7D" w14:textId="77777777" w:rsidR="00B509FF" w:rsidRPr="0095641F" w:rsidRDefault="00B509FF" w:rsidP="00F2483E">
            <w:pPr>
              <w:widowControl w:val="0"/>
              <w:spacing w:after="0" w:line="276" w:lineRule="auto"/>
              <w:rPr>
                <w:rFonts w:asciiTheme="majorHAnsi" w:eastAsiaTheme="minorHAnsi" w:hAnsiTheme="majorHAnsi" w:cstheme="majorHAnsi"/>
                <w:i/>
                <w:color w:val="auto"/>
              </w:rPr>
            </w:pPr>
            <w:r w:rsidRPr="0095641F">
              <w:rPr>
                <w:rFonts w:asciiTheme="majorHAnsi" w:eastAsiaTheme="minorHAnsi" w:hAnsiTheme="majorHAnsi" w:cstheme="majorHAnsi"/>
                <w:i/>
                <w:color w:val="auto"/>
              </w:rPr>
              <w:t>Listeria monocytogenes</w:t>
            </w:r>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50CCFF14" w14:textId="3A50C9AB"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$2,834,</w:t>
            </w:r>
            <w:r w:rsidR="00425152">
              <w:rPr>
                <w:rFonts w:asciiTheme="majorHAnsi" w:eastAsiaTheme="minorHAnsi" w:hAnsiTheme="majorHAnsi" w:cstheme="majorHAnsi"/>
                <w:color w:val="auto"/>
              </w:rPr>
              <w:t>400,000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636284B8"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1,591</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558A7A9B" w14:textId="51971A17" w:rsidR="00B509FF" w:rsidRPr="0095641F" w:rsidRDefault="00425152" w:rsidP="00425152">
            <w:pPr>
              <w:widowControl w:val="0"/>
              <w:spacing w:after="0" w:line="276" w:lineRule="auto"/>
              <w:rPr>
                <w:rFonts w:asciiTheme="majorHAnsi" w:eastAsiaTheme="minorHAnsi" w:hAnsiTheme="majorHAnsi" w:cstheme="majorHAnsi"/>
                <w:color w:val="auto"/>
              </w:rPr>
            </w:pPr>
            <w:r>
              <w:rPr>
                <w:rFonts w:asciiTheme="majorHAnsi" w:eastAsiaTheme="minorHAnsi" w:hAnsiTheme="majorHAnsi" w:cstheme="majorHAnsi"/>
                <w:color w:val="auto"/>
              </w:rPr>
              <w:t>$1,782,000</w:t>
            </w:r>
          </w:p>
        </w:tc>
      </w:tr>
      <w:tr w:rsidR="00B509FF" w:rsidRPr="00791D2E" w14:paraId="7DDE3EB8" w14:textId="77777777" w:rsidTr="00425152">
        <w:trPr>
          <w:trHeight w:val="277"/>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4197C772" w14:textId="77777777" w:rsidR="00B509FF" w:rsidRPr="0095641F" w:rsidRDefault="00B509FF" w:rsidP="00F2483E">
            <w:pPr>
              <w:widowControl w:val="0"/>
              <w:spacing w:after="0" w:line="276" w:lineRule="auto"/>
              <w:rPr>
                <w:rFonts w:asciiTheme="majorHAnsi" w:eastAsiaTheme="minorHAnsi" w:hAnsiTheme="majorHAnsi" w:cstheme="majorHAnsi"/>
                <w:i/>
                <w:color w:val="auto"/>
              </w:rPr>
            </w:pPr>
            <w:r w:rsidRPr="0095641F">
              <w:rPr>
                <w:rFonts w:asciiTheme="majorHAnsi" w:eastAsiaTheme="minorHAnsi" w:hAnsiTheme="majorHAnsi" w:cstheme="majorHAnsi"/>
                <w:i/>
                <w:color w:val="auto"/>
              </w:rPr>
              <w:t xml:space="preserve">Toxoplasma </w:t>
            </w:r>
            <w:proofErr w:type="spellStart"/>
            <w:r w:rsidRPr="0095641F">
              <w:rPr>
                <w:rFonts w:asciiTheme="majorHAnsi" w:eastAsiaTheme="minorHAnsi" w:hAnsiTheme="majorHAnsi" w:cstheme="majorHAnsi"/>
                <w:i/>
                <w:color w:val="auto"/>
              </w:rPr>
              <w:t>gondii</w:t>
            </w:r>
            <w:proofErr w:type="spellEnd"/>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76CB3D2C" w14:textId="31379BED"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$3,30</w:t>
            </w:r>
            <w:r w:rsidR="00425152">
              <w:rPr>
                <w:rFonts w:asciiTheme="majorHAnsi" w:eastAsiaTheme="minorHAnsi" w:hAnsiTheme="majorHAnsi" w:cstheme="majorHAnsi"/>
                <w:color w:val="auto"/>
              </w:rPr>
              <w:t>4</w:t>
            </w:r>
            <w:r w:rsidRPr="0095641F">
              <w:rPr>
                <w:rFonts w:asciiTheme="majorHAnsi" w:eastAsiaTheme="minorHAnsi" w:hAnsiTheme="majorHAnsi" w:cstheme="majorHAnsi"/>
                <w:color w:val="auto"/>
              </w:rPr>
              <w:t>,</w:t>
            </w:r>
            <w:r w:rsidR="00425152">
              <w:rPr>
                <w:rFonts w:asciiTheme="majorHAnsi" w:eastAsiaTheme="minorHAnsi" w:hAnsiTheme="majorHAnsi" w:cstheme="majorHAnsi"/>
                <w:color w:val="auto"/>
              </w:rPr>
              <w:t>000,000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6DF6BC3D"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86,686</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2DA068B9" w14:textId="5266854F"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$38,</w:t>
            </w:r>
            <w:r w:rsidR="00425152">
              <w:rPr>
                <w:rFonts w:asciiTheme="majorHAnsi" w:eastAsiaTheme="minorHAnsi" w:hAnsiTheme="majorHAnsi" w:cstheme="majorHAnsi"/>
                <w:color w:val="auto"/>
              </w:rPr>
              <w:t>000</w:t>
            </w:r>
          </w:p>
        </w:tc>
      </w:tr>
      <w:tr w:rsidR="00B509FF" w:rsidRPr="00791D2E" w14:paraId="363C447B" w14:textId="77777777" w:rsidTr="00425152">
        <w:trPr>
          <w:trHeight w:val="340"/>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52191DEA"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i/>
                <w:color w:val="auto"/>
              </w:rPr>
              <w:t>Vibrio spp.</w:t>
            </w:r>
            <w:r w:rsidRPr="0095641F">
              <w:rPr>
                <w:rFonts w:asciiTheme="majorHAnsi" w:eastAsiaTheme="minorHAnsi" w:hAnsiTheme="majorHAnsi" w:cstheme="majorHAnsi"/>
                <w:color w:val="auto"/>
              </w:rPr>
              <w:t xml:space="preserve"> (non-cholera)</w:t>
            </w:r>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289D8AA0" w14:textId="5C551B67"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$142,</w:t>
            </w:r>
            <w:r w:rsidR="00425152">
              <w:rPr>
                <w:rFonts w:asciiTheme="majorHAnsi" w:eastAsiaTheme="minorHAnsi" w:hAnsiTheme="majorHAnsi" w:cstheme="majorHAnsi"/>
                <w:color w:val="auto"/>
              </w:rPr>
              <w:t>100,000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3EDBF630"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17,564</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17807604" w14:textId="407BCD6A"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$8,</w:t>
            </w:r>
            <w:r w:rsidR="00425152">
              <w:rPr>
                <w:rFonts w:asciiTheme="majorHAnsi" w:eastAsiaTheme="minorHAnsi" w:hAnsiTheme="majorHAnsi" w:cstheme="majorHAnsi"/>
                <w:color w:val="auto"/>
              </w:rPr>
              <w:t>100</w:t>
            </w:r>
          </w:p>
        </w:tc>
      </w:tr>
      <w:tr w:rsidR="00B509FF" w:rsidRPr="00791D2E" w14:paraId="4E919A70" w14:textId="77777777" w:rsidTr="00425152">
        <w:trPr>
          <w:trHeight w:val="313"/>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5B132636" w14:textId="692F9816" w:rsidR="000513E5" w:rsidRDefault="000513E5" w:rsidP="00F2483E">
            <w:pPr>
              <w:widowControl w:val="0"/>
              <w:spacing w:after="0" w:line="276" w:lineRule="auto"/>
              <w:rPr>
                <w:rFonts w:asciiTheme="majorHAnsi" w:eastAsiaTheme="minorHAnsi" w:hAnsiTheme="majorHAnsi" w:cstheme="majorHAnsi"/>
                <w:i/>
                <w:color w:val="auto"/>
              </w:rPr>
            </w:pPr>
            <w:r w:rsidRPr="000513E5">
              <w:rPr>
                <w:rFonts w:asciiTheme="majorHAnsi" w:eastAsiaTheme="minorHAnsi" w:hAnsiTheme="majorHAnsi" w:cstheme="majorHAnsi"/>
                <w:color w:val="auto"/>
              </w:rPr>
              <w:t>Shiga</w:t>
            </w:r>
            <w:r>
              <w:rPr>
                <w:rFonts w:asciiTheme="majorHAnsi" w:eastAsiaTheme="minorHAnsi" w:hAnsiTheme="majorHAnsi" w:cstheme="majorHAnsi"/>
                <w:color w:val="auto"/>
              </w:rPr>
              <w:t xml:space="preserve"> </w:t>
            </w:r>
            <w:r w:rsidRPr="000513E5">
              <w:rPr>
                <w:rFonts w:asciiTheme="majorHAnsi" w:eastAsiaTheme="minorHAnsi" w:hAnsiTheme="majorHAnsi" w:cstheme="majorHAnsi"/>
                <w:color w:val="auto"/>
              </w:rPr>
              <w:t>toxin-producing</w:t>
            </w:r>
            <w:r>
              <w:rPr>
                <w:rFonts w:asciiTheme="majorHAnsi" w:eastAsiaTheme="minorHAnsi" w:hAnsiTheme="majorHAnsi" w:cstheme="majorHAnsi"/>
                <w:i/>
                <w:color w:val="auto"/>
              </w:rPr>
              <w:t xml:space="preserve"> </w:t>
            </w:r>
          </w:p>
          <w:p w14:paraId="411BF208" w14:textId="08ADD411"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i/>
                <w:color w:val="auto"/>
              </w:rPr>
              <w:t>E. coli</w:t>
            </w:r>
            <w:r w:rsidRPr="0095641F">
              <w:rPr>
                <w:rFonts w:asciiTheme="majorHAnsi" w:eastAsiaTheme="minorHAnsi" w:hAnsiTheme="majorHAnsi" w:cstheme="majorHAnsi"/>
                <w:color w:val="auto"/>
              </w:rPr>
              <w:t xml:space="preserve"> O157 </w:t>
            </w:r>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68210474" w14:textId="4B74DB25"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$271,</w:t>
            </w:r>
            <w:r w:rsidR="00425152">
              <w:rPr>
                <w:rFonts w:asciiTheme="majorHAnsi" w:eastAsiaTheme="minorHAnsi" w:hAnsiTheme="majorHAnsi" w:cstheme="majorHAnsi"/>
                <w:color w:val="auto"/>
              </w:rPr>
              <w:t>400,000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55B4D764"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63,153</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15B7FDD5" w14:textId="4EC959DE"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$4,</w:t>
            </w:r>
            <w:r w:rsidR="00425152">
              <w:rPr>
                <w:rFonts w:asciiTheme="majorHAnsi" w:eastAsiaTheme="minorHAnsi" w:hAnsiTheme="majorHAnsi" w:cstheme="majorHAnsi"/>
                <w:color w:val="auto"/>
              </w:rPr>
              <w:t>300</w:t>
            </w:r>
          </w:p>
        </w:tc>
      </w:tr>
      <w:tr w:rsidR="00B509FF" w:rsidRPr="00791D2E" w14:paraId="0EC65F8D" w14:textId="77777777" w:rsidTr="00425152">
        <w:trPr>
          <w:trHeight w:val="376"/>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42DE8E28"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i/>
                <w:color w:val="auto"/>
              </w:rPr>
              <w:t>Salmonella</w:t>
            </w:r>
            <w:r w:rsidRPr="0095641F">
              <w:rPr>
                <w:rFonts w:asciiTheme="majorHAnsi" w:eastAsiaTheme="minorHAnsi" w:hAnsiTheme="majorHAnsi" w:cstheme="majorHAnsi"/>
                <w:color w:val="auto"/>
              </w:rPr>
              <w:t xml:space="preserve"> </w:t>
            </w:r>
            <w:r w:rsidRPr="0095641F">
              <w:rPr>
                <w:rFonts w:asciiTheme="majorHAnsi" w:hAnsiTheme="majorHAnsi" w:cstheme="majorHAnsi"/>
                <w:i/>
              </w:rPr>
              <w:t>spp.</w:t>
            </w:r>
            <w:r w:rsidRPr="0095641F">
              <w:rPr>
                <w:rFonts w:asciiTheme="majorHAnsi" w:hAnsiTheme="majorHAnsi" w:cstheme="majorHAnsi"/>
              </w:rPr>
              <w:t xml:space="preserve"> </w:t>
            </w:r>
            <w:r w:rsidRPr="0095641F">
              <w:rPr>
                <w:rFonts w:asciiTheme="majorHAnsi" w:eastAsiaTheme="minorHAnsi" w:hAnsiTheme="majorHAnsi" w:cstheme="majorHAnsi"/>
                <w:color w:val="auto"/>
              </w:rPr>
              <w:t>(</w:t>
            </w:r>
            <w:proofErr w:type="spellStart"/>
            <w:r w:rsidRPr="0095641F">
              <w:rPr>
                <w:rFonts w:asciiTheme="majorHAnsi" w:eastAsiaTheme="minorHAnsi" w:hAnsiTheme="majorHAnsi" w:cstheme="majorHAnsi"/>
                <w:color w:val="auto"/>
              </w:rPr>
              <w:t>nontyphoidal</w:t>
            </w:r>
            <w:proofErr w:type="spellEnd"/>
            <w:r w:rsidRPr="0095641F">
              <w:rPr>
                <w:rFonts w:asciiTheme="majorHAnsi" w:eastAsiaTheme="minorHAnsi" w:hAnsiTheme="majorHAnsi" w:cstheme="majorHAnsi"/>
                <w:color w:val="auto"/>
              </w:rPr>
              <w:t>)</w:t>
            </w:r>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6F007BB4" w14:textId="2EFE6E14"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$3,666,600,0</w:t>
            </w:r>
            <w:r w:rsidR="00425152">
              <w:rPr>
                <w:rFonts w:asciiTheme="majorHAnsi" w:eastAsiaTheme="minorHAnsi" w:hAnsiTheme="majorHAnsi" w:cstheme="majorHAnsi"/>
                <w:color w:val="auto"/>
              </w:rPr>
              <w:t>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0096AD2B"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1,027,561</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2F7DF901" w14:textId="1FA931AC"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$3,</w:t>
            </w:r>
            <w:r w:rsidR="00425152">
              <w:rPr>
                <w:rFonts w:asciiTheme="majorHAnsi" w:eastAsiaTheme="minorHAnsi" w:hAnsiTheme="majorHAnsi" w:cstheme="majorHAnsi"/>
                <w:color w:val="auto"/>
              </w:rPr>
              <w:t>600</w:t>
            </w:r>
          </w:p>
        </w:tc>
      </w:tr>
      <w:tr w:rsidR="00B509FF" w:rsidRPr="00791D2E" w14:paraId="1BA65625" w14:textId="77777777" w:rsidTr="00425152">
        <w:trPr>
          <w:trHeight w:val="331"/>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6B4C6E70" w14:textId="77777777" w:rsidR="00B509FF" w:rsidRPr="0095641F" w:rsidRDefault="00B509FF" w:rsidP="00F2483E">
            <w:pPr>
              <w:widowControl w:val="0"/>
              <w:spacing w:after="0" w:line="276" w:lineRule="auto"/>
              <w:rPr>
                <w:rFonts w:asciiTheme="majorHAnsi" w:eastAsiaTheme="minorHAnsi" w:hAnsiTheme="majorHAnsi" w:cstheme="majorHAnsi"/>
                <w:i/>
                <w:color w:val="auto"/>
              </w:rPr>
            </w:pPr>
            <w:r w:rsidRPr="0095641F">
              <w:rPr>
                <w:rFonts w:asciiTheme="majorHAnsi" w:eastAsiaTheme="minorHAnsi" w:hAnsiTheme="majorHAnsi" w:cstheme="majorHAnsi"/>
                <w:i/>
                <w:color w:val="auto"/>
              </w:rPr>
              <w:t xml:space="preserve">Yersinia </w:t>
            </w:r>
            <w:proofErr w:type="spellStart"/>
            <w:r w:rsidRPr="0095641F">
              <w:rPr>
                <w:rFonts w:asciiTheme="majorHAnsi" w:eastAsiaTheme="minorHAnsi" w:hAnsiTheme="majorHAnsi" w:cstheme="majorHAnsi"/>
                <w:i/>
                <w:color w:val="auto"/>
              </w:rPr>
              <w:t>enterocolitica</w:t>
            </w:r>
            <w:proofErr w:type="spellEnd"/>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6E35A872" w14:textId="28D444F2"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$287,</w:t>
            </w:r>
            <w:r w:rsidR="00425152">
              <w:rPr>
                <w:rFonts w:asciiTheme="majorHAnsi" w:eastAsiaTheme="minorHAnsi" w:hAnsiTheme="majorHAnsi" w:cstheme="majorHAnsi"/>
                <w:color w:val="auto"/>
              </w:rPr>
              <w:t>100,000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1B8C1946"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97,656</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68B24FA5" w14:textId="68D4C824"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$2,</w:t>
            </w:r>
            <w:r w:rsidR="00425152">
              <w:rPr>
                <w:rFonts w:asciiTheme="majorHAnsi" w:eastAsiaTheme="minorHAnsi" w:hAnsiTheme="majorHAnsi" w:cstheme="majorHAnsi"/>
                <w:color w:val="auto"/>
              </w:rPr>
              <w:t>900</w:t>
            </w:r>
          </w:p>
        </w:tc>
      </w:tr>
      <w:tr w:rsidR="00B509FF" w:rsidRPr="00791D2E" w14:paraId="7019EFFB" w14:textId="77777777" w:rsidTr="00425152">
        <w:trPr>
          <w:trHeight w:val="304"/>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57437DD1"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i/>
                <w:color w:val="auto"/>
              </w:rPr>
              <w:t>Campylobacter spp</w:t>
            </w:r>
            <w:r w:rsidRPr="0095641F">
              <w:rPr>
                <w:rFonts w:asciiTheme="majorHAnsi" w:eastAsiaTheme="minorHAnsi" w:hAnsiTheme="majorHAnsi" w:cstheme="majorHAnsi"/>
                <w:color w:val="auto"/>
              </w:rPr>
              <w:t>.</w:t>
            </w:r>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533E937D" w14:textId="6122DB79"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$1,928,</w:t>
            </w:r>
            <w:r w:rsidR="00425152">
              <w:rPr>
                <w:rFonts w:asciiTheme="majorHAnsi" w:eastAsiaTheme="minorHAnsi" w:hAnsiTheme="majorHAnsi" w:cstheme="majorHAnsi"/>
                <w:color w:val="auto"/>
              </w:rPr>
              <w:t>800,000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22AD1713"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845,024</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655B069F" w14:textId="69B2FB66"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$2,</w:t>
            </w:r>
            <w:r w:rsidR="00425152">
              <w:rPr>
                <w:rFonts w:asciiTheme="majorHAnsi" w:eastAsiaTheme="minorHAnsi" w:hAnsiTheme="majorHAnsi" w:cstheme="majorHAnsi"/>
                <w:color w:val="auto"/>
              </w:rPr>
              <w:t>300</w:t>
            </w:r>
          </w:p>
        </w:tc>
      </w:tr>
      <w:tr w:rsidR="00B509FF" w:rsidRPr="00791D2E" w14:paraId="7282D159" w14:textId="77777777" w:rsidTr="00425152">
        <w:trPr>
          <w:trHeight w:val="457"/>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2E185171" w14:textId="77777777" w:rsidR="00B509FF" w:rsidRPr="0095641F" w:rsidRDefault="00B509FF" w:rsidP="00F2483E">
            <w:pPr>
              <w:widowControl w:val="0"/>
              <w:spacing w:after="0" w:line="276" w:lineRule="auto"/>
              <w:rPr>
                <w:rFonts w:asciiTheme="majorHAnsi" w:eastAsiaTheme="minorHAnsi" w:hAnsiTheme="majorHAnsi" w:cstheme="majorHAnsi"/>
                <w:i/>
                <w:color w:val="auto"/>
              </w:rPr>
            </w:pPr>
            <w:r w:rsidRPr="0095641F">
              <w:rPr>
                <w:rFonts w:asciiTheme="majorHAnsi" w:eastAsiaTheme="minorHAnsi" w:hAnsiTheme="majorHAnsi" w:cstheme="majorHAnsi"/>
                <w:i/>
                <w:color w:val="auto"/>
              </w:rPr>
              <w:t xml:space="preserve">Vibrio </w:t>
            </w:r>
            <w:proofErr w:type="spellStart"/>
            <w:r w:rsidRPr="0095641F">
              <w:rPr>
                <w:rFonts w:asciiTheme="majorHAnsi" w:eastAsiaTheme="minorHAnsi" w:hAnsiTheme="majorHAnsi" w:cstheme="majorHAnsi"/>
                <w:i/>
                <w:color w:val="auto"/>
              </w:rPr>
              <w:t>parahaemolyticus</w:t>
            </w:r>
            <w:proofErr w:type="spellEnd"/>
            <w:r w:rsidRPr="0095641F">
              <w:rPr>
                <w:rFonts w:asciiTheme="majorHAnsi" w:eastAsiaTheme="minorHAnsi" w:hAnsiTheme="majorHAnsi" w:cstheme="majorHAnsi"/>
                <w:i/>
                <w:color w:val="auto"/>
              </w:rPr>
              <w:t xml:space="preserve"> </w:t>
            </w:r>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75F92D32" w14:textId="6073E141"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$40,</w:t>
            </w:r>
            <w:r w:rsidR="00425152">
              <w:rPr>
                <w:rFonts w:asciiTheme="majorHAnsi" w:eastAsiaTheme="minorHAnsi" w:hAnsiTheme="majorHAnsi" w:cstheme="majorHAnsi"/>
                <w:color w:val="auto"/>
              </w:rPr>
              <w:t>700,000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7347CC80"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34,664</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247D35B9" w14:textId="76A713B7"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$1,</w:t>
            </w:r>
            <w:r w:rsidR="00425152">
              <w:rPr>
                <w:rFonts w:asciiTheme="majorHAnsi" w:eastAsiaTheme="minorHAnsi" w:hAnsiTheme="majorHAnsi" w:cstheme="majorHAnsi"/>
                <w:color w:val="auto"/>
              </w:rPr>
              <w:t>200</w:t>
            </w:r>
          </w:p>
        </w:tc>
      </w:tr>
      <w:tr w:rsidR="00B509FF" w:rsidRPr="00791D2E" w14:paraId="78924BE2" w14:textId="77777777" w:rsidTr="00425152">
        <w:trPr>
          <w:trHeight w:val="412"/>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1FA626B0"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proofErr w:type="spellStart"/>
            <w:r w:rsidRPr="0095641F">
              <w:rPr>
                <w:rFonts w:asciiTheme="majorHAnsi" w:eastAsiaTheme="minorHAnsi" w:hAnsiTheme="majorHAnsi" w:cstheme="majorHAnsi"/>
                <w:i/>
                <w:color w:val="auto"/>
              </w:rPr>
              <w:t>Shigella</w:t>
            </w:r>
            <w:proofErr w:type="spellEnd"/>
            <w:r w:rsidRPr="0095641F">
              <w:rPr>
                <w:rFonts w:asciiTheme="majorHAnsi" w:eastAsiaTheme="minorHAnsi" w:hAnsiTheme="majorHAnsi" w:cstheme="majorHAnsi"/>
                <w:color w:val="auto"/>
              </w:rPr>
              <w:t xml:space="preserve"> (all species)</w:t>
            </w:r>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44270262" w14:textId="5FCCEDB7" w:rsidR="00B509FF" w:rsidRPr="0095641F" w:rsidRDefault="00425152" w:rsidP="00425152">
            <w:pPr>
              <w:widowControl w:val="0"/>
              <w:spacing w:after="0" w:line="276" w:lineRule="auto"/>
              <w:rPr>
                <w:rFonts w:asciiTheme="majorHAnsi" w:eastAsiaTheme="minorHAnsi" w:hAnsiTheme="majorHAnsi" w:cstheme="majorHAnsi"/>
                <w:color w:val="auto"/>
              </w:rPr>
            </w:pPr>
            <w:r>
              <w:rPr>
                <w:rFonts w:asciiTheme="majorHAnsi" w:eastAsiaTheme="minorHAnsi" w:hAnsiTheme="majorHAnsi" w:cstheme="majorHAnsi"/>
                <w:color w:val="auto"/>
              </w:rPr>
              <w:t>$138,000,000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27933847"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131,254</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55E2CAFE" w14:textId="4E184578"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$1,</w:t>
            </w:r>
            <w:r w:rsidR="00425152">
              <w:rPr>
                <w:rFonts w:asciiTheme="majorHAnsi" w:eastAsiaTheme="minorHAnsi" w:hAnsiTheme="majorHAnsi" w:cstheme="majorHAnsi"/>
                <w:color w:val="auto"/>
              </w:rPr>
              <w:t>100</w:t>
            </w:r>
          </w:p>
        </w:tc>
      </w:tr>
      <w:tr w:rsidR="00B509FF" w:rsidRPr="00791D2E" w14:paraId="2F813F56" w14:textId="77777777" w:rsidTr="00425152">
        <w:trPr>
          <w:trHeight w:val="421"/>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1F762699" w14:textId="77777777" w:rsidR="00B509FF" w:rsidRPr="0095641F" w:rsidRDefault="00B509FF" w:rsidP="00F2483E">
            <w:pPr>
              <w:widowControl w:val="0"/>
              <w:spacing w:after="0" w:line="276" w:lineRule="auto"/>
              <w:rPr>
                <w:rFonts w:asciiTheme="majorHAnsi" w:eastAsiaTheme="minorHAnsi" w:hAnsiTheme="majorHAnsi" w:cstheme="majorHAnsi"/>
                <w:i/>
                <w:color w:val="auto"/>
              </w:rPr>
            </w:pPr>
            <w:r w:rsidRPr="0095641F">
              <w:rPr>
                <w:rFonts w:asciiTheme="majorHAnsi" w:eastAsiaTheme="minorHAnsi" w:hAnsiTheme="majorHAnsi" w:cstheme="majorHAnsi"/>
                <w:i/>
                <w:color w:val="auto"/>
              </w:rPr>
              <w:t xml:space="preserve">Cryptosporidium </w:t>
            </w:r>
            <w:proofErr w:type="spellStart"/>
            <w:r w:rsidRPr="0095641F">
              <w:rPr>
                <w:rFonts w:asciiTheme="majorHAnsi" w:eastAsiaTheme="minorHAnsi" w:hAnsiTheme="majorHAnsi" w:cstheme="majorHAnsi"/>
                <w:i/>
                <w:color w:val="auto"/>
              </w:rPr>
              <w:t>parvum</w:t>
            </w:r>
            <w:proofErr w:type="spellEnd"/>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12B37B0D" w14:textId="797673FE"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$51,</w:t>
            </w:r>
            <w:r w:rsidR="00425152">
              <w:rPr>
                <w:rFonts w:asciiTheme="majorHAnsi" w:eastAsiaTheme="minorHAnsi" w:hAnsiTheme="majorHAnsi" w:cstheme="majorHAnsi"/>
                <w:color w:val="auto"/>
              </w:rPr>
              <w:t>800,000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0A844F6F"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57,616</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10E80129" w14:textId="11EB9335"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w:t>
            </w:r>
            <w:r w:rsidR="00425152">
              <w:rPr>
                <w:rFonts w:asciiTheme="majorHAnsi" w:eastAsiaTheme="minorHAnsi" w:hAnsiTheme="majorHAnsi" w:cstheme="majorHAnsi"/>
                <w:color w:val="auto"/>
              </w:rPr>
              <w:t>900</w:t>
            </w:r>
          </w:p>
        </w:tc>
      </w:tr>
      <w:tr w:rsidR="00B509FF" w:rsidRPr="00791D2E" w14:paraId="3DE1C462" w14:textId="77777777" w:rsidTr="00425152">
        <w:trPr>
          <w:trHeight w:val="331"/>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0C679DFD"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Norovirus</w:t>
            </w:r>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7E249AEB" w14:textId="54E051AC"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$2,255,</w:t>
            </w:r>
            <w:r w:rsidR="00425152">
              <w:rPr>
                <w:rFonts w:asciiTheme="majorHAnsi" w:eastAsiaTheme="minorHAnsi" w:hAnsiTheme="majorHAnsi" w:cstheme="majorHAnsi"/>
                <w:color w:val="auto"/>
              </w:rPr>
              <w:t>800,000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5D58296C"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5,461,731</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1A39FE69" w14:textId="394BA6CB"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w:t>
            </w:r>
            <w:r w:rsidR="00425152">
              <w:rPr>
                <w:rFonts w:asciiTheme="majorHAnsi" w:eastAsiaTheme="minorHAnsi" w:hAnsiTheme="majorHAnsi" w:cstheme="majorHAnsi"/>
                <w:color w:val="auto"/>
              </w:rPr>
              <w:t>410</w:t>
            </w:r>
          </w:p>
        </w:tc>
      </w:tr>
      <w:tr w:rsidR="00B509FF" w:rsidRPr="00791D2E" w14:paraId="707559C5" w14:textId="77777777" w:rsidTr="00425152">
        <w:trPr>
          <w:trHeight w:val="322"/>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1937ACF6" w14:textId="77777777" w:rsidR="00B509FF" w:rsidRPr="0095641F" w:rsidRDefault="00B509FF" w:rsidP="00F2483E">
            <w:pPr>
              <w:widowControl w:val="0"/>
              <w:spacing w:after="0" w:line="276" w:lineRule="auto"/>
              <w:rPr>
                <w:rFonts w:asciiTheme="majorHAnsi" w:eastAsiaTheme="minorHAnsi" w:hAnsiTheme="majorHAnsi" w:cstheme="majorHAnsi"/>
                <w:i/>
                <w:color w:val="auto"/>
              </w:rPr>
            </w:pPr>
            <w:r w:rsidRPr="0095641F">
              <w:rPr>
                <w:rFonts w:asciiTheme="majorHAnsi" w:eastAsiaTheme="minorHAnsi" w:hAnsiTheme="majorHAnsi" w:cstheme="majorHAnsi"/>
                <w:i/>
                <w:color w:val="auto"/>
              </w:rPr>
              <w:t>Clostridium perfringens</w:t>
            </w:r>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07F3062E" w14:textId="7340AACA"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$342,</w:t>
            </w:r>
            <w:r w:rsidR="00425152">
              <w:rPr>
                <w:rFonts w:asciiTheme="majorHAnsi" w:eastAsiaTheme="minorHAnsi" w:hAnsiTheme="majorHAnsi" w:cstheme="majorHAnsi"/>
                <w:color w:val="auto"/>
              </w:rPr>
              <w:t>700,000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1140B7A7"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965,958</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7AD24A32" w14:textId="1CA12748"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w:t>
            </w:r>
            <w:r w:rsidR="00425152">
              <w:rPr>
                <w:rFonts w:asciiTheme="majorHAnsi" w:eastAsiaTheme="minorHAnsi" w:hAnsiTheme="majorHAnsi" w:cstheme="majorHAnsi"/>
                <w:color w:val="auto"/>
              </w:rPr>
              <w:t>350</w:t>
            </w:r>
          </w:p>
        </w:tc>
      </w:tr>
      <w:tr w:rsidR="00B509FF" w:rsidRPr="00791D2E" w14:paraId="31755BD6" w14:textId="77777777" w:rsidTr="00425152">
        <w:trPr>
          <w:trHeight w:val="340"/>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6101D346" w14:textId="61EA8564" w:rsidR="00B509FF" w:rsidRPr="0095641F" w:rsidRDefault="000513E5" w:rsidP="000513E5">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non O157</w:t>
            </w:r>
            <w:r>
              <w:rPr>
                <w:rFonts w:asciiTheme="majorHAnsi" w:eastAsiaTheme="minorHAnsi" w:hAnsiTheme="majorHAnsi" w:cstheme="majorHAnsi"/>
                <w:color w:val="auto"/>
              </w:rPr>
              <w:t xml:space="preserve"> Shiga toxin-producing </w:t>
            </w:r>
            <w:r w:rsidR="00B509FF" w:rsidRPr="0095641F">
              <w:rPr>
                <w:rFonts w:asciiTheme="majorHAnsi" w:eastAsiaTheme="minorHAnsi" w:hAnsiTheme="majorHAnsi" w:cstheme="majorHAnsi"/>
                <w:i/>
                <w:color w:val="auto"/>
              </w:rPr>
              <w:t>E. coli</w:t>
            </w:r>
            <w:r w:rsidR="00B509FF" w:rsidRPr="0095641F">
              <w:rPr>
                <w:rFonts w:asciiTheme="majorHAnsi" w:eastAsiaTheme="minorHAnsi" w:hAnsiTheme="majorHAnsi" w:cstheme="majorHAnsi"/>
                <w:color w:val="auto"/>
              </w:rPr>
              <w:t xml:space="preserve"> </w:t>
            </w:r>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1E131640" w14:textId="03362329"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$27,</w:t>
            </w:r>
            <w:r w:rsidR="00425152">
              <w:rPr>
                <w:rFonts w:asciiTheme="majorHAnsi" w:eastAsiaTheme="minorHAnsi" w:hAnsiTheme="majorHAnsi" w:cstheme="majorHAnsi"/>
                <w:color w:val="auto"/>
              </w:rPr>
              <w:t>300,000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5D49455A"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112,752</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5EF67F0F" w14:textId="04FFEBD2"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w:t>
            </w:r>
            <w:r w:rsidR="00425152">
              <w:rPr>
                <w:rFonts w:asciiTheme="majorHAnsi" w:eastAsiaTheme="minorHAnsi" w:hAnsiTheme="majorHAnsi" w:cstheme="majorHAnsi"/>
                <w:color w:val="auto"/>
              </w:rPr>
              <w:t>240</w:t>
            </w:r>
          </w:p>
        </w:tc>
      </w:tr>
      <w:tr w:rsidR="00B509FF" w:rsidRPr="00791D2E" w14:paraId="7032D8D9" w14:textId="77777777" w:rsidTr="00425152">
        <w:trPr>
          <w:trHeight w:val="322"/>
        </w:trPr>
        <w:tc>
          <w:tcPr>
            <w:tcW w:w="376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Mar>
              <w:top w:w="100" w:type="dxa"/>
              <w:left w:w="100" w:type="dxa"/>
              <w:bottom w:w="100" w:type="dxa"/>
              <w:right w:w="100" w:type="dxa"/>
            </w:tcMar>
          </w:tcPr>
          <w:p w14:paraId="7E50DE1B" w14:textId="77777777" w:rsidR="00B509FF" w:rsidRPr="0095641F" w:rsidRDefault="00B509FF" w:rsidP="00F2483E">
            <w:pPr>
              <w:widowControl w:val="0"/>
              <w:spacing w:after="0" w:line="276" w:lineRule="auto"/>
              <w:rPr>
                <w:rFonts w:asciiTheme="majorHAnsi" w:eastAsiaTheme="minorHAnsi" w:hAnsiTheme="majorHAnsi" w:cstheme="majorHAnsi"/>
                <w:i/>
                <w:color w:val="auto"/>
              </w:rPr>
            </w:pPr>
            <w:proofErr w:type="spellStart"/>
            <w:r w:rsidRPr="0095641F">
              <w:rPr>
                <w:rFonts w:asciiTheme="majorHAnsi" w:eastAsiaTheme="minorHAnsi" w:hAnsiTheme="majorHAnsi" w:cstheme="majorHAnsi"/>
                <w:i/>
                <w:color w:val="auto"/>
              </w:rPr>
              <w:t>Cyclospora</w:t>
            </w:r>
            <w:proofErr w:type="spellEnd"/>
            <w:r w:rsidRPr="0095641F">
              <w:rPr>
                <w:rFonts w:asciiTheme="majorHAnsi" w:eastAsiaTheme="minorHAnsi" w:hAnsiTheme="majorHAnsi" w:cstheme="majorHAnsi"/>
                <w:i/>
                <w:color w:val="auto"/>
              </w:rPr>
              <w:t xml:space="preserve"> </w:t>
            </w:r>
            <w:proofErr w:type="spellStart"/>
            <w:r w:rsidRPr="0095641F">
              <w:rPr>
                <w:rFonts w:asciiTheme="majorHAnsi" w:eastAsiaTheme="minorHAnsi" w:hAnsiTheme="majorHAnsi" w:cstheme="majorHAnsi"/>
                <w:i/>
                <w:color w:val="auto"/>
              </w:rPr>
              <w:t>cayetanensis</w:t>
            </w:r>
            <w:proofErr w:type="spellEnd"/>
          </w:p>
        </w:tc>
        <w:tc>
          <w:tcPr>
            <w:tcW w:w="171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7F65A8F1" w14:textId="16F57DAA"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$2,</w:t>
            </w:r>
            <w:r w:rsidR="00425152">
              <w:rPr>
                <w:rFonts w:asciiTheme="majorHAnsi" w:eastAsiaTheme="minorHAnsi" w:hAnsiTheme="majorHAnsi" w:cstheme="majorHAnsi"/>
                <w:color w:val="auto"/>
              </w:rPr>
              <w:t>300,000</w:t>
            </w:r>
          </w:p>
        </w:tc>
        <w:tc>
          <w:tcPr>
            <w:tcW w:w="1710" w:type="dxa"/>
            <w:tcBorders>
              <w:top w:val="single" w:sz="4" w:space="0" w:color="000000"/>
              <w:left w:val="nil"/>
              <w:bottom w:val="single" w:sz="4" w:space="0" w:color="000000"/>
              <w:right w:val="single" w:sz="4" w:space="0" w:color="000000"/>
            </w:tcBorders>
            <w:shd w:val="clear" w:color="auto" w:fill="B8CCE4" w:themeFill="accent1" w:themeFillTint="66"/>
            <w:tcMar>
              <w:top w:w="100" w:type="dxa"/>
              <w:left w:w="100" w:type="dxa"/>
              <w:bottom w:w="100" w:type="dxa"/>
              <w:right w:w="100" w:type="dxa"/>
            </w:tcMar>
          </w:tcPr>
          <w:p w14:paraId="7A0F1E8F" w14:textId="77777777" w:rsidR="00B509FF" w:rsidRPr="0095641F" w:rsidRDefault="00B509FF" w:rsidP="00F2483E">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11,407</w:t>
            </w:r>
          </w:p>
        </w:tc>
        <w:tc>
          <w:tcPr>
            <w:tcW w:w="1500" w:type="dxa"/>
            <w:tcBorders>
              <w:top w:val="single" w:sz="4" w:space="0" w:color="000000"/>
              <w:left w:val="nil"/>
              <w:bottom w:val="single" w:sz="4" w:space="0" w:color="000000"/>
              <w:right w:val="single" w:sz="4" w:space="0" w:color="000000"/>
            </w:tcBorders>
            <w:shd w:val="clear" w:color="auto" w:fill="C6D9F1" w:themeFill="text2" w:themeFillTint="33"/>
            <w:tcMar>
              <w:top w:w="100" w:type="dxa"/>
              <w:left w:w="100" w:type="dxa"/>
              <w:bottom w:w="100" w:type="dxa"/>
              <w:right w:w="100" w:type="dxa"/>
            </w:tcMar>
          </w:tcPr>
          <w:p w14:paraId="31143B47" w14:textId="0938961D" w:rsidR="00B509FF" w:rsidRPr="0095641F" w:rsidRDefault="00B509FF" w:rsidP="00425152">
            <w:pPr>
              <w:widowControl w:val="0"/>
              <w:spacing w:after="0" w:line="276" w:lineRule="auto"/>
              <w:rPr>
                <w:rFonts w:asciiTheme="majorHAnsi" w:eastAsiaTheme="minorHAnsi" w:hAnsiTheme="majorHAnsi" w:cstheme="majorHAnsi"/>
                <w:color w:val="auto"/>
              </w:rPr>
            </w:pPr>
            <w:r w:rsidRPr="0095641F">
              <w:rPr>
                <w:rFonts w:asciiTheme="majorHAnsi" w:eastAsiaTheme="minorHAnsi" w:hAnsiTheme="majorHAnsi" w:cstheme="majorHAnsi"/>
                <w:color w:val="auto"/>
              </w:rPr>
              <w:t>$</w:t>
            </w:r>
            <w:r w:rsidR="00425152">
              <w:rPr>
                <w:rFonts w:asciiTheme="majorHAnsi" w:eastAsiaTheme="minorHAnsi" w:hAnsiTheme="majorHAnsi" w:cstheme="majorHAnsi"/>
                <w:color w:val="auto"/>
              </w:rPr>
              <w:t>200</w:t>
            </w:r>
          </w:p>
        </w:tc>
      </w:tr>
    </w:tbl>
    <w:p w14:paraId="7787A015" w14:textId="236E9038" w:rsidR="00B509FF" w:rsidRDefault="00831B5F" w:rsidP="00B509FF">
      <w:r w:rsidRPr="0095641F">
        <w:rPr>
          <w:b/>
        </w:rPr>
        <w:lastRenderedPageBreak/>
        <w:t>1</w:t>
      </w:r>
      <w:r w:rsidR="00003736" w:rsidRPr="0095641F">
        <w:rPr>
          <w:b/>
        </w:rPr>
        <w:t>.1.</w:t>
      </w:r>
      <w:r w:rsidR="0096342B">
        <w:rPr>
          <w:b/>
        </w:rPr>
        <w:t>3</w:t>
      </w:r>
      <w:r w:rsidR="00003736" w:rsidRPr="0095641F">
        <w:rPr>
          <w:b/>
        </w:rPr>
        <w:t xml:space="preserve"> </w:t>
      </w:r>
      <w:r w:rsidR="00B509FF" w:rsidRPr="0095641F">
        <w:rPr>
          <w:b/>
        </w:rPr>
        <w:t>The burden of foodborne illness on the food industry can vary greatly. Very seldom are the costs limited to one company.</w:t>
      </w:r>
      <w:r w:rsidR="00B509FF">
        <w:t xml:space="preserve"> This is evident when the distribution network of our food supply is considered. The impact of recalls on the food industry are far reaching, in some cases reaching $10 million in direct cost. </w:t>
      </w:r>
    </w:p>
    <w:p w14:paraId="4B1C56B3" w14:textId="016DCDD2" w:rsidR="00501E4D" w:rsidRDefault="00501E4D" w:rsidP="00B509FF">
      <w:r w:rsidRPr="00501E4D">
        <w:t>Direct costs of recalls includes include: notification (to regulators</w:t>
      </w:r>
      <w:r>
        <w:t>, supply chain, and consumers);</w:t>
      </w:r>
      <w:r w:rsidRPr="00501E4D">
        <w:t xml:space="preserve"> product retrieval (reverse logis</w:t>
      </w:r>
      <w:r>
        <w:t>tics), storage, and destruction; unsalable product;</w:t>
      </w:r>
      <w:r w:rsidRPr="00501E4D">
        <w:t xml:space="preserve"> and of course, the additional labor costs associated with these activities; and, as well as investigation cost. These direct costs do not include litigation costs, increased regulatory compliance costs, and the impact to the company’s market value and brand reputation. </w:t>
      </w:r>
    </w:p>
    <w:p w14:paraId="30C5C6E2" w14:textId="05F1A77A" w:rsidR="00B509FF" w:rsidRDefault="00B509FF" w:rsidP="00B509FF">
      <w:r>
        <w:t xml:space="preserve">The </w:t>
      </w:r>
      <w:r w:rsidRPr="00E25CDA">
        <w:rPr>
          <w:i/>
        </w:rPr>
        <w:t>Salmonella</w:t>
      </w:r>
      <w:r>
        <w:t xml:space="preserve"> </w:t>
      </w:r>
      <w:proofErr w:type="spellStart"/>
      <w:r>
        <w:t>Saintpaul</w:t>
      </w:r>
      <w:proofErr w:type="spellEnd"/>
      <w:r>
        <w:t xml:space="preserve"> </w:t>
      </w:r>
      <w:r w:rsidR="00501E4D">
        <w:t xml:space="preserve">outbreak </w:t>
      </w:r>
      <w:r>
        <w:t>that occurred in 2008 provide</w:t>
      </w:r>
      <w:r w:rsidR="00AB1966">
        <w:t>s</w:t>
      </w:r>
      <w:r>
        <w:t xml:space="preserve"> a good example of the indirect costs to the industry associated </w:t>
      </w:r>
      <w:r w:rsidR="00501E4D">
        <w:t xml:space="preserve">with </w:t>
      </w:r>
      <w:r>
        <w:t>lost sales and brand damage. This outbreak sickened 1</w:t>
      </w:r>
      <w:r w:rsidR="00EF6BD3">
        <w:t>500</w:t>
      </w:r>
      <w:r>
        <w:t xml:space="preserve"> people in 43 states, the District o</w:t>
      </w:r>
      <w:r w:rsidR="00501E4D">
        <w:t>f Columbia, and Canada. Early</w:t>
      </w:r>
      <w:r>
        <w:t xml:space="preserve"> in the investigation</w:t>
      </w:r>
      <w:r w:rsidR="00501E4D">
        <w:t>,</w:t>
      </w:r>
      <w:r>
        <w:t xml:space="preserve"> it appeared that tomatoes were the possible source of the outbreak and the FDA issued a warning </w:t>
      </w:r>
      <w:r w:rsidR="00501E4D">
        <w:t>against consumption of</w:t>
      </w:r>
      <w:r>
        <w:t xml:space="preserve"> tomatoes. As the investigation continued the cause of the outbreak was identified as jalapeno and serrano peppers. As a result of the warning, large retailers cancelled all orders of tomatoes and 32% of the tomatoes grown in Georgia were left in the fields and never picked for consumption. Tomatoes that were </w:t>
      </w:r>
      <w:r w:rsidR="00501E4D">
        <w:t>selling</w:t>
      </w:r>
      <w:r>
        <w:t xml:space="preserve"> for $18 to $19 a box </w:t>
      </w:r>
      <w:r w:rsidR="00501E4D">
        <w:t>were sold</w:t>
      </w:r>
      <w:r>
        <w:t xml:space="preserve"> for </w:t>
      </w:r>
      <w:r w:rsidR="00AB1966">
        <w:t xml:space="preserve">a fraction of that </w:t>
      </w:r>
      <w:r>
        <w:t>after the warning</w:t>
      </w:r>
      <w:r w:rsidR="00501E4D">
        <w:t xml:space="preserve"> was issued</w:t>
      </w:r>
      <w:r>
        <w:t xml:space="preserve">. Some Florida growers reported selling boxes for 50 cents. Florida and Georgia growers claim they lost $100 to $125 million as a result of the warning. </w:t>
      </w:r>
    </w:p>
    <w:p w14:paraId="68CC18B9" w14:textId="7B159975" w:rsidR="00F90EA0" w:rsidRDefault="00044565" w:rsidP="00F90EA0">
      <w:pPr>
        <w:spacing w:after="0" w:line="264" w:lineRule="auto"/>
        <w:ind w:right="30"/>
        <w:rPr>
          <w:color w:val="231F20"/>
        </w:rPr>
      </w:pPr>
      <w:r>
        <w:t>With a more comprehensive accounting of potential co</w:t>
      </w:r>
      <w:r w:rsidR="00083D3A">
        <w:t>s</w:t>
      </w:r>
      <w:r>
        <w:t>ts, r</w:t>
      </w:r>
      <w:r w:rsidR="00B509FF" w:rsidRPr="006A71FA">
        <w:t>esearchers at the Johns Hopkins Bloomberg School of Public Health suggest</w:t>
      </w:r>
      <w:r w:rsidR="00AB1966">
        <w:t xml:space="preserve"> that</w:t>
      </w:r>
      <w:r w:rsidR="00B509FF">
        <w:t xml:space="preserve"> the cost to a restaurant for a single foodborne disease outbreak </w:t>
      </w:r>
      <w:r w:rsidR="00AB1966">
        <w:t>may range from</w:t>
      </w:r>
      <w:r w:rsidR="00B509FF">
        <w:t xml:space="preserve"> $</w:t>
      </w:r>
      <w:r w:rsidR="00AB1966">
        <w:t>4,000</w:t>
      </w:r>
      <w:r w:rsidR="00B509FF">
        <w:t xml:space="preserve"> to $2.6 million, depending on the pathogen, the type of restaurant involved, and the size of the outbreak. </w:t>
      </w:r>
      <w:r w:rsidR="00AB1966">
        <w:t xml:space="preserve">For example, </w:t>
      </w:r>
      <w:r w:rsidR="00B509FF">
        <w:t xml:space="preserve">a foodborne outbreak </w:t>
      </w:r>
      <w:r w:rsidR="00AB1966">
        <w:t xml:space="preserve">in which </w:t>
      </w:r>
      <w:r w:rsidR="00CF20E9">
        <w:t>five</w:t>
      </w:r>
      <w:r w:rsidR="00AB1966">
        <w:t xml:space="preserve"> people </w:t>
      </w:r>
      <w:r w:rsidR="00CF20E9">
        <w:t>became</w:t>
      </w:r>
      <w:r w:rsidR="00AB1966">
        <w:t xml:space="preserve"> sick </w:t>
      </w:r>
      <w:r w:rsidR="00B509FF">
        <w:t xml:space="preserve">in a fast food restaurant would </w:t>
      </w:r>
      <w:r w:rsidR="00CF20E9">
        <w:t>result in</w:t>
      </w:r>
      <w:r w:rsidR="00B509FF">
        <w:t xml:space="preserve"> costs of approximately $4000</w:t>
      </w:r>
      <w:r w:rsidR="00AB1966">
        <w:t xml:space="preserve"> if there was</w:t>
      </w:r>
      <w:r w:rsidR="00B509FF">
        <w:t xml:space="preserve"> no </w:t>
      </w:r>
      <w:r w:rsidR="00B509FF" w:rsidRPr="00FD6DA8">
        <w:t>loss in revenue and no lawsuits, legal fees, or fines</w:t>
      </w:r>
      <w:r w:rsidR="00B509FF">
        <w:t xml:space="preserve">. </w:t>
      </w:r>
      <w:r w:rsidR="00AB1966">
        <w:t>In contrast,</w:t>
      </w:r>
      <w:r w:rsidR="00B509FF" w:rsidRPr="00FD6DA8">
        <w:t xml:space="preserve"> a single outbreak of </w:t>
      </w:r>
      <w:proofErr w:type="spellStart"/>
      <w:r w:rsidR="00CF20E9" w:rsidRPr="00CF20E9">
        <w:t>listeriosis</w:t>
      </w:r>
      <w:proofErr w:type="spellEnd"/>
      <w:r w:rsidR="00AB1966" w:rsidRPr="00CF20E9">
        <w:t xml:space="preserve"> </w:t>
      </w:r>
      <w:r w:rsidR="00B509FF" w:rsidRPr="00CF20E9">
        <w:t>i</w:t>
      </w:r>
      <w:r w:rsidR="00B509FF">
        <w:t>nvolving 250 persons</w:t>
      </w:r>
      <w:r w:rsidR="00B509FF" w:rsidRPr="00FD6DA8">
        <w:t xml:space="preserve"> in </w:t>
      </w:r>
      <w:r w:rsidR="00B509FF">
        <w:t>a fine dining restaurant</w:t>
      </w:r>
      <w:r w:rsidR="00B509FF" w:rsidRPr="00FD6DA8">
        <w:t xml:space="preserve"> could cost upwards of $2.</w:t>
      </w:r>
      <w:r w:rsidR="00B509FF">
        <w:t>6</w:t>
      </w:r>
      <w:r w:rsidR="00B509FF" w:rsidRPr="00FD6DA8">
        <w:t xml:space="preserve"> million in </w:t>
      </w:r>
      <w:r w:rsidR="00EF6BD3">
        <w:t>lost sales</w:t>
      </w:r>
      <w:r w:rsidR="00B509FF" w:rsidRPr="00FD6DA8">
        <w:t>, lawsuits, legal fees, fines and higher insurance premiums.</w:t>
      </w:r>
      <w:r w:rsidR="00B509FF">
        <w:t xml:space="preserve"> </w:t>
      </w:r>
    </w:p>
    <w:p w14:paraId="20663BA6" w14:textId="77777777" w:rsidR="006F5088" w:rsidRDefault="006F5088">
      <w:pPr>
        <w:spacing w:after="0" w:line="264" w:lineRule="auto"/>
        <w:ind w:right="30"/>
        <w:rPr>
          <w:color w:val="231F20"/>
        </w:rPr>
      </w:pPr>
    </w:p>
    <w:p w14:paraId="1DA4D96E" w14:textId="5B9345BC" w:rsidR="00DA71B8" w:rsidRPr="0095641F" w:rsidRDefault="00DA71B8" w:rsidP="00DA71B8">
      <w:pPr>
        <w:spacing w:after="0" w:line="264" w:lineRule="auto"/>
        <w:ind w:right="30"/>
        <w:rPr>
          <w:b/>
          <w:color w:val="231F20"/>
          <w:sz w:val="28"/>
          <w:szCs w:val="28"/>
        </w:rPr>
      </w:pPr>
      <w:r w:rsidRPr="0095641F">
        <w:rPr>
          <w:b/>
          <w:color w:val="231F20"/>
          <w:sz w:val="28"/>
          <w:szCs w:val="28"/>
        </w:rPr>
        <w:t>1.2 Growing Complexity of the Food Supply</w:t>
      </w:r>
    </w:p>
    <w:p w14:paraId="3BE733E9" w14:textId="77777777" w:rsidR="007A2910" w:rsidRPr="0095641F" w:rsidRDefault="007A2910" w:rsidP="00DA71B8">
      <w:pPr>
        <w:spacing w:after="0" w:line="264" w:lineRule="auto"/>
        <w:ind w:right="30"/>
        <w:rPr>
          <w:b/>
          <w:color w:val="231F20"/>
          <w:sz w:val="24"/>
          <w:szCs w:val="24"/>
        </w:rPr>
      </w:pPr>
    </w:p>
    <w:p w14:paraId="4B1C7387" w14:textId="3B39B06A" w:rsidR="005C3984" w:rsidRDefault="00DA71B8" w:rsidP="0096342B">
      <w:pPr>
        <w:spacing w:after="0" w:line="264" w:lineRule="auto"/>
        <w:ind w:right="30"/>
        <w:rPr>
          <w:b/>
          <w:color w:val="231F20"/>
        </w:rPr>
      </w:pPr>
      <w:r w:rsidRPr="0095641F">
        <w:rPr>
          <w:color w:val="231F20"/>
        </w:rPr>
        <w:t xml:space="preserve">U.S. food consumption </w:t>
      </w:r>
      <w:r w:rsidR="00CF20E9">
        <w:rPr>
          <w:color w:val="231F20"/>
        </w:rPr>
        <w:t xml:space="preserve">trends </w:t>
      </w:r>
      <w:r w:rsidRPr="0095641F">
        <w:rPr>
          <w:color w:val="231F20"/>
        </w:rPr>
        <w:t>change continuously. Changes in diets and food preferences have resulted in a greater demand for a broader variety of fruits, vegetables, and other foods. Moreover, Americans expect to consume these foods year-round, driving importation from areas of the world with the growing seasons necessary to meet U.S. demand.</w:t>
      </w:r>
      <w:r w:rsidR="0096342B" w:rsidRPr="0096342B">
        <w:rPr>
          <w:b/>
          <w:color w:val="231F20"/>
        </w:rPr>
        <w:t xml:space="preserve"> </w:t>
      </w:r>
    </w:p>
    <w:p w14:paraId="5836112C" w14:textId="77777777" w:rsidR="00DA71B8" w:rsidRPr="0095641F" w:rsidRDefault="00DA71B8" w:rsidP="00DA71B8">
      <w:pPr>
        <w:spacing w:after="0" w:line="264" w:lineRule="auto"/>
        <w:ind w:right="30"/>
        <w:rPr>
          <w:color w:val="231F20"/>
        </w:rPr>
      </w:pPr>
    </w:p>
    <w:p w14:paraId="19C70C21" w14:textId="39B52D78" w:rsidR="00E555B3" w:rsidRDefault="00DA71B8" w:rsidP="00DA71B8">
      <w:pPr>
        <w:spacing w:after="0" w:line="264" w:lineRule="auto"/>
        <w:ind w:right="30"/>
        <w:rPr>
          <w:color w:val="231F20"/>
        </w:rPr>
      </w:pPr>
      <w:r w:rsidRPr="0095641F">
        <w:rPr>
          <w:b/>
          <w:color w:val="231F20"/>
        </w:rPr>
        <w:t xml:space="preserve">1.2.1 </w:t>
      </w:r>
      <w:r w:rsidR="005C3984">
        <w:rPr>
          <w:b/>
          <w:color w:val="231F20"/>
        </w:rPr>
        <w:t xml:space="preserve">A major indicator of changing diets is the consumption of fresh fruits and vegetables. </w:t>
      </w:r>
      <w:r w:rsidR="00CF20E9">
        <w:rPr>
          <w:b/>
          <w:color w:val="231F20"/>
        </w:rPr>
        <w:t>S</w:t>
      </w:r>
      <w:r w:rsidR="00083D3A">
        <w:rPr>
          <w:color w:val="231F20"/>
        </w:rPr>
        <w:t xml:space="preserve">ince 1996, loss-adjusted per capita availability of fresh fruit increased 7% from 55 to 59 pounds (USDA-ERS). </w:t>
      </w:r>
      <w:r w:rsidR="006C5689">
        <w:rPr>
          <w:color w:val="231F20"/>
        </w:rPr>
        <w:t>C</w:t>
      </w:r>
      <w:r w:rsidR="00083D3A">
        <w:rPr>
          <w:color w:val="231F20"/>
        </w:rPr>
        <w:t xml:space="preserve">onsumption of fresh vegetables </w:t>
      </w:r>
      <w:r w:rsidR="006C5689">
        <w:rPr>
          <w:color w:val="231F20"/>
        </w:rPr>
        <w:t>increased only marginally from 68 to 70 pounds.</w:t>
      </w:r>
      <w:r w:rsidR="00083D3A">
        <w:rPr>
          <w:color w:val="231F20"/>
        </w:rPr>
        <w:t xml:space="preserve"> </w:t>
      </w:r>
      <w:r w:rsidR="00CF20E9">
        <w:rPr>
          <w:color w:val="231F20"/>
        </w:rPr>
        <w:t>During</w:t>
      </w:r>
      <w:r w:rsidR="006C5689">
        <w:rPr>
          <w:color w:val="231F20"/>
        </w:rPr>
        <w:t xml:space="preserve"> the same time, </w:t>
      </w:r>
      <w:r w:rsidR="00083D3A">
        <w:rPr>
          <w:color w:val="231F20"/>
        </w:rPr>
        <w:t xml:space="preserve">consumption of chicken increased </w:t>
      </w:r>
      <w:r w:rsidR="00E555B3">
        <w:rPr>
          <w:color w:val="231F20"/>
        </w:rPr>
        <w:t xml:space="preserve">30% </w:t>
      </w:r>
      <w:r w:rsidR="00083D3A">
        <w:rPr>
          <w:color w:val="231F20"/>
        </w:rPr>
        <w:t xml:space="preserve">from 40 to 52 pounds, while beef consumption declined </w:t>
      </w:r>
      <w:r w:rsidR="00E555B3">
        <w:rPr>
          <w:color w:val="231F20"/>
        </w:rPr>
        <w:t xml:space="preserve">17% </w:t>
      </w:r>
      <w:r w:rsidR="00083D3A">
        <w:rPr>
          <w:color w:val="231F20"/>
        </w:rPr>
        <w:t xml:space="preserve">from 49 to 41 pounds per capita (USDA-ERS). </w:t>
      </w:r>
      <w:r w:rsidR="00E555B3">
        <w:rPr>
          <w:color w:val="231F20"/>
        </w:rPr>
        <w:t xml:space="preserve"> Within the arena of fresh produce, consumption of head lettuce declined 34% from 12 to 8 pounds per capita, while consumption of romaine and leaf </w:t>
      </w:r>
      <w:r w:rsidR="00E555B3">
        <w:rPr>
          <w:color w:val="231F20"/>
        </w:rPr>
        <w:lastRenderedPageBreak/>
        <w:t>lettuce doubled from 3 to 6 pounds per capita</w:t>
      </w:r>
      <w:r w:rsidR="00560B43">
        <w:rPr>
          <w:color w:val="231F20"/>
        </w:rPr>
        <w:t xml:space="preserve">, and consumption of </w:t>
      </w:r>
      <w:r w:rsidR="00CF20E9">
        <w:rPr>
          <w:color w:val="231F20"/>
        </w:rPr>
        <w:t>fresh spinach nearly tripled from</w:t>
      </w:r>
      <w:r w:rsidR="00560B43">
        <w:rPr>
          <w:color w:val="231F20"/>
        </w:rPr>
        <w:t xml:space="preserve"> 0.3 to 0.9 pounds per capita</w:t>
      </w:r>
      <w:r w:rsidR="00E555B3">
        <w:rPr>
          <w:color w:val="231F20"/>
        </w:rPr>
        <w:t>.  Notable increases were also seen in consumption of fresh berries. Consumption of strawberries increased from 2.2 to 3.9 pounds, blueberries from 0.2 to 1.3 pounds and raspberries from less than 0.1 pounds to 0.6 pounds per capita.</w:t>
      </w:r>
      <w:r w:rsidR="00696608">
        <w:rPr>
          <w:color w:val="231F20"/>
        </w:rPr>
        <w:t xml:space="preserve"> The general pattern of these dietary changes reflect</w:t>
      </w:r>
      <w:r w:rsidR="00CF20E9">
        <w:rPr>
          <w:color w:val="231F20"/>
        </w:rPr>
        <w:t>s</w:t>
      </w:r>
      <w:r w:rsidR="00696608">
        <w:rPr>
          <w:color w:val="231F20"/>
        </w:rPr>
        <w:t xml:space="preserve"> public health recommendations </w:t>
      </w:r>
      <w:r w:rsidR="00560B43">
        <w:rPr>
          <w:color w:val="231F20"/>
        </w:rPr>
        <w:t>towards healthier</w:t>
      </w:r>
      <w:r w:rsidR="00C404F5">
        <w:rPr>
          <w:color w:val="231F20"/>
        </w:rPr>
        <w:t xml:space="preserve"> eating.</w:t>
      </w:r>
    </w:p>
    <w:p w14:paraId="26AC9425" w14:textId="77777777" w:rsidR="00E555B3" w:rsidRDefault="00E555B3" w:rsidP="00DA71B8">
      <w:pPr>
        <w:spacing w:after="0" w:line="264" w:lineRule="auto"/>
        <w:ind w:right="30"/>
        <w:rPr>
          <w:color w:val="231F20"/>
        </w:rPr>
      </w:pPr>
    </w:p>
    <w:p w14:paraId="2D3DB860" w14:textId="654F72EA" w:rsidR="00DA71B8" w:rsidRDefault="00DA71B8" w:rsidP="00DA71B8">
      <w:pPr>
        <w:spacing w:after="0" w:line="264" w:lineRule="auto"/>
        <w:ind w:right="30"/>
        <w:rPr>
          <w:color w:val="231F20"/>
        </w:rPr>
      </w:pPr>
      <w:r w:rsidRPr="0095641F">
        <w:rPr>
          <w:color w:val="231F20"/>
        </w:rPr>
        <w:t>The food industry has accommodated this demand through routine importation of items once considered out of season or exotic. According to report</w:t>
      </w:r>
      <w:r w:rsidR="00696608">
        <w:rPr>
          <w:color w:val="231F20"/>
        </w:rPr>
        <w:t>s</w:t>
      </w:r>
      <w:r w:rsidRPr="0095641F">
        <w:rPr>
          <w:color w:val="231F20"/>
        </w:rPr>
        <w:t xml:space="preserve"> by the USDA’s Economic Research Service (ERS), </w:t>
      </w:r>
      <w:r w:rsidR="00696608">
        <w:rPr>
          <w:color w:val="231F20"/>
        </w:rPr>
        <w:t>the proportion of fresh fruits that were imported increased from 39% in 1996 to 53% in 2016.  Excluding bananas, for which there is no domestic production, the share of imported fruits increased from 16% to 38%.  Similarly, the percentage of imported fresh vegetables increased from 14% to 31%.</w:t>
      </w:r>
      <w:r w:rsidR="0050341C">
        <w:rPr>
          <w:color w:val="231F20"/>
        </w:rPr>
        <w:t xml:space="preserve"> While a high proportion of some fresh produce items such as mango and papaya, have always been imported, an increasing share of more conventional produce items are also imported. For example, the percentage of avocadoes that are imported increased from approximately 14% in 1996 to 89% in 2016 (USDA, ERS). </w:t>
      </w:r>
      <w:r w:rsidR="00CF20E9">
        <w:rPr>
          <w:color w:val="231F20"/>
        </w:rPr>
        <w:t>T</w:t>
      </w:r>
      <w:r w:rsidR="0050341C">
        <w:rPr>
          <w:color w:val="231F20"/>
        </w:rPr>
        <w:t>he share of strawberries and blueberries that are imported increased from 6% to 14% and 24% to 57%, respectively over the same time frame (USDA, ERS).</w:t>
      </w:r>
    </w:p>
    <w:p w14:paraId="4ADA03CB" w14:textId="77777777" w:rsidR="00696608" w:rsidRPr="0095641F" w:rsidRDefault="00696608" w:rsidP="00DA71B8">
      <w:pPr>
        <w:spacing w:after="0" w:line="264" w:lineRule="auto"/>
        <w:ind w:right="30"/>
        <w:rPr>
          <w:color w:val="231F20"/>
        </w:rPr>
      </w:pPr>
    </w:p>
    <w:p w14:paraId="33D70A3A" w14:textId="5B2EDFBB" w:rsidR="00DA71B8" w:rsidRDefault="00DA71B8" w:rsidP="00DA71B8">
      <w:pPr>
        <w:spacing w:after="0" w:line="264" w:lineRule="auto"/>
        <w:ind w:right="30"/>
        <w:rPr>
          <w:color w:val="231F20"/>
        </w:rPr>
      </w:pPr>
      <w:r w:rsidRPr="0095641F">
        <w:rPr>
          <w:color w:val="231F20"/>
        </w:rPr>
        <w:t xml:space="preserve">The safety of imported food products depends largely on the public health and food safety systems of other countries. The existence of food safety problems in other countries is supported by recent analyses of foodborne disease outbreaks reported to the CDC. </w:t>
      </w:r>
      <w:r w:rsidR="00CF20E9">
        <w:rPr>
          <w:color w:val="231F20"/>
        </w:rPr>
        <w:t xml:space="preserve">From 1996 to </w:t>
      </w:r>
      <w:r w:rsidR="001B7D62">
        <w:rPr>
          <w:color w:val="231F20"/>
        </w:rPr>
        <w:t xml:space="preserve">2014 the number of confirmed foodborne outbreaks associated with imported foods increased from 3 per year to 18 per year.  </w:t>
      </w:r>
      <w:r w:rsidR="001B7D62" w:rsidRPr="0095641F">
        <w:rPr>
          <w:i/>
          <w:color w:val="231F20"/>
        </w:rPr>
        <w:t xml:space="preserve">Salmonella </w:t>
      </w:r>
      <w:r w:rsidR="001B7D62">
        <w:rPr>
          <w:color w:val="231F20"/>
        </w:rPr>
        <w:t xml:space="preserve">and </w:t>
      </w:r>
      <w:proofErr w:type="spellStart"/>
      <w:r w:rsidR="001B7D62" w:rsidRPr="0095641F">
        <w:rPr>
          <w:i/>
          <w:color w:val="231F20"/>
        </w:rPr>
        <w:t>Cyclospora</w:t>
      </w:r>
      <w:proofErr w:type="spellEnd"/>
      <w:r w:rsidR="001B7D62">
        <w:rPr>
          <w:color w:val="231F20"/>
        </w:rPr>
        <w:t xml:space="preserve"> accounted for about a third of the outbreaks and 75% of cases, most due to contaminated produce from Latin America (Gould H, et al, 2017).</w:t>
      </w:r>
      <w:r w:rsidR="00C102EE">
        <w:rPr>
          <w:color w:val="231F20"/>
        </w:rPr>
        <w:t xml:space="preserve"> </w:t>
      </w:r>
    </w:p>
    <w:p w14:paraId="26DC2E38" w14:textId="77777777" w:rsidR="00696608" w:rsidRPr="0095641F" w:rsidRDefault="00696608" w:rsidP="00DA71B8">
      <w:pPr>
        <w:spacing w:after="0" w:line="264" w:lineRule="auto"/>
        <w:ind w:right="30"/>
        <w:rPr>
          <w:color w:val="231F20"/>
        </w:rPr>
      </w:pPr>
    </w:p>
    <w:p w14:paraId="5BB01442" w14:textId="3049FF9F" w:rsidR="00DA71B8" w:rsidRDefault="00DA71B8" w:rsidP="00DA71B8">
      <w:pPr>
        <w:spacing w:after="0" w:line="264" w:lineRule="auto"/>
        <w:ind w:right="30"/>
        <w:rPr>
          <w:color w:val="231F20"/>
        </w:rPr>
      </w:pPr>
      <w:r w:rsidRPr="0095641F">
        <w:rPr>
          <w:color w:val="231F20"/>
        </w:rPr>
        <w:t>Culinary preferences that use undercooked or raw foods</w:t>
      </w:r>
      <w:r w:rsidR="00DA52A3">
        <w:rPr>
          <w:color w:val="231F20"/>
        </w:rPr>
        <w:t xml:space="preserve"> </w:t>
      </w:r>
      <w:r w:rsidRPr="0095641F">
        <w:rPr>
          <w:color w:val="231F20"/>
        </w:rPr>
        <w:t xml:space="preserve">might also be contributing to more frequent infections and outbreaks caused by the microorganisms associated with these foods. </w:t>
      </w:r>
      <w:r w:rsidR="00DA52A3">
        <w:rPr>
          <w:color w:val="231F20"/>
        </w:rPr>
        <w:t xml:space="preserve">These include classical outbreaks of STEC, </w:t>
      </w:r>
      <w:r w:rsidR="00DA52A3" w:rsidRPr="0095641F">
        <w:rPr>
          <w:i/>
          <w:color w:val="231F20"/>
        </w:rPr>
        <w:t>Salmonella</w:t>
      </w:r>
      <w:r w:rsidR="00DA52A3">
        <w:rPr>
          <w:color w:val="231F20"/>
        </w:rPr>
        <w:t xml:space="preserve">, </w:t>
      </w:r>
      <w:r w:rsidR="00DA52A3" w:rsidRPr="0095641F">
        <w:rPr>
          <w:i/>
          <w:color w:val="231F20"/>
        </w:rPr>
        <w:t>Campylobacter</w:t>
      </w:r>
      <w:r w:rsidR="00DA52A3">
        <w:rPr>
          <w:color w:val="231F20"/>
        </w:rPr>
        <w:t xml:space="preserve">, and </w:t>
      </w:r>
      <w:r w:rsidR="00DA52A3" w:rsidRPr="0095641F">
        <w:rPr>
          <w:i/>
          <w:color w:val="231F20"/>
        </w:rPr>
        <w:t>Listeria</w:t>
      </w:r>
      <w:r w:rsidR="00DA52A3">
        <w:rPr>
          <w:color w:val="231F20"/>
        </w:rPr>
        <w:t xml:space="preserve"> </w:t>
      </w:r>
      <w:r w:rsidR="00CF20E9">
        <w:rPr>
          <w:color w:val="231F20"/>
        </w:rPr>
        <w:t xml:space="preserve">infections </w:t>
      </w:r>
      <w:r w:rsidR="00DA52A3">
        <w:rPr>
          <w:color w:val="231F20"/>
        </w:rPr>
        <w:t xml:space="preserve">associated with raw milk and raw milk cheeses, </w:t>
      </w:r>
      <w:r w:rsidR="00DA52A3" w:rsidRPr="0095641F">
        <w:rPr>
          <w:i/>
          <w:color w:val="231F20"/>
        </w:rPr>
        <w:t>Salmonella</w:t>
      </w:r>
      <w:r w:rsidR="00DA52A3">
        <w:rPr>
          <w:color w:val="231F20"/>
        </w:rPr>
        <w:t xml:space="preserve"> associated with raw tuna in sushi, and </w:t>
      </w:r>
      <w:r w:rsidR="00DA52A3" w:rsidRPr="0095641F">
        <w:rPr>
          <w:i/>
          <w:color w:val="231F20"/>
        </w:rPr>
        <w:t>Campylobacter</w:t>
      </w:r>
      <w:r w:rsidR="00DA52A3">
        <w:rPr>
          <w:color w:val="231F20"/>
        </w:rPr>
        <w:t xml:space="preserve"> and </w:t>
      </w:r>
      <w:r w:rsidR="00DA52A3" w:rsidRPr="0095641F">
        <w:rPr>
          <w:i/>
          <w:color w:val="231F20"/>
        </w:rPr>
        <w:t>Salmonella</w:t>
      </w:r>
      <w:r w:rsidR="00DA52A3">
        <w:rPr>
          <w:color w:val="231F20"/>
        </w:rPr>
        <w:t xml:space="preserve"> in minimally processed liver pates.   A corresponding trend for </w:t>
      </w:r>
      <w:r w:rsidR="00AD7182">
        <w:rPr>
          <w:color w:val="231F20"/>
        </w:rPr>
        <w:t xml:space="preserve">raw pet foods made from meat and poultry products has also led to outbreaks among people handling the raw pet food, exposure to </w:t>
      </w:r>
      <w:proofErr w:type="spellStart"/>
      <w:r w:rsidR="00AD7182">
        <w:rPr>
          <w:color w:val="231F20"/>
        </w:rPr>
        <w:t>ill</w:t>
      </w:r>
      <w:proofErr w:type="spellEnd"/>
      <w:r w:rsidR="00AD7182">
        <w:rPr>
          <w:color w:val="231F20"/>
        </w:rPr>
        <w:t xml:space="preserve"> animals, or from environmental contamination in the household.</w:t>
      </w:r>
    </w:p>
    <w:p w14:paraId="49258CED" w14:textId="409C2F26" w:rsidR="00AE13E7" w:rsidRDefault="00AE13E7" w:rsidP="00DA71B8">
      <w:pPr>
        <w:spacing w:after="0" w:line="264" w:lineRule="auto"/>
        <w:ind w:right="30"/>
        <w:rPr>
          <w:color w:val="231F20"/>
        </w:rPr>
      </w:pPr>
    </w:p>
    <w:p w14:paraId="42C9907B" w14:textId="1E5E090D" w:rsidR="00AE13E7" w:rsidRPr="0095641F" w:rsidRDefault="00AE13E7" w:rsidP="00AE13E7">
      <w:pPr>
        <w:spacing w:after="0" w:line="264" w:lineRule="auto"/>
        <w:ind w:right="30"/>
        <w:rPr>
          <w:color w:val="231F20"/>
        </w:rPr>
      </w:pPr>
      <w:r>
        <w:rPr>
          <w:color w:val="231F20"/>
        </w:rPr>
        <w:t xml:space="preserve">Foodborne illnesses may also be associated with ingestion of products not primarily intended for consumption as food. </w:t>
      </w:r>
      <w:r w:rsidR="00CF20E9">
        <w:rPr>
          <w:color w:val="231F20"/>
        </w:rPr>
        <w:t>During</w:t>
      </w:r>
      <w:r w:rsidRPr="00AE13E7">
        <w:rPr>
          <w:color w:val="231F20"/>
        </w:rPr>
        <w:t xml:space="preserve"> 2017–2018</w:t>
      </w:r>
      <w:r w:rsidR="00CF20E9">
        <w:rPr>
          <w:color w:val="231F20"/>
        </w:rPr>
        <w:t>,</w:t>
      </w:r>
      <w:r w:rsidRPr="00AE13E7">
        <w:rPr>
          <w:color w:val="231F20"/>
        </w:rPr>
        <w:t xml:space="preserve"> </w:t>
      </w:r>
      <w:proofErr w:type="spellStart"/>
      <w:r w:rsidRPr="00AE13E7">
        <w:rPr>
          <w:color w:val="231F20"/>
        </w:rPr>
        <w:t>kratom</w:t>
      </w:r>
      <w:proofErr w:type="spellEnd"/>
      <w:r w:rsidRPr="00AE13E7">
        <w:rPr>
          <w:color w:val="231F20"/>
        </w:rPr>
        <w:t>, a tree leaf with stimulant and opioid properties, cause</w:t>
      </w:r>
      <w:r w:rsidR="00CF20E9">
        <w:rPr>
          <w:color w:val="231F20"/>
        </w:rPr>
        <w:t>d</w:t>
      </w:r>
      <w:r w:rsidRPr="00AE13E7">
        <w:rPr>
          <w:color w:val="231F20"/>
        </w:rPr>
        <w:t xml:space="preserve"> illness by a variety of </w:t>
      </w:r>
      <w:r w:rsidRPr="0095641F">
        <w:rPr>
          <w:i/>
          <w:color w:val="231F20"/>
        </w:rPr>
        <w:t>Salmonella</w:t>
      </w:r>
      <w:r w:rsidRPr="00AE13E7">
        <w:rPr>
          <w:color w:val="231F20"/>
        </w:rPr>
        <w:t xml:space="preserve"> serotypes.  </w:t>
      </w:r>
    </w:p>
    <w:p w14:paraId="733FAEA5" w14:textId="77777777" w:rsidR="00E555B3" w:rsidRDefault="00E555B3" w:rsidP="00DA71B8">
      <w:pPr>
        <w:spacing w:after="0" w:line="264" w:lineRule="auto"/>
        <w:ind w:right="30"/>
        <w:rPr>
          <w:color w:val="231F20"/>
        </w:rPr>
      </w:pPr>
    </w:p>
    <w:p w14:paraId="022D82BF" w14:textId="0BE8F44A" w:rsidR="00F7425D" w:rsidRDefault="00297DF6" w:rsidP="00DA71B8">
      <w:pPr>
        <w:spacing w:after="0" w:line="264" w:lineRule="auto"/>
        <w:ind w:right="30"/>
        <w:rPr>
          <w:color w:val="231F20"/>
        </w:rPr>
      </w:pPr>
      <w:r w:rsidRPr="0095641F">
        <w:rPr>
          <w:b/>
          <w:color w:val="231F20"/>
        </w:rPr>
        <w:t>1.2</w:t>
      </w:r>
      <w:r w:rsidR="00DA71B8" w:rsidRPr="0095641F">
        <w:rPr>
          <w:b/>
          <w:color w:val="231F20"/>
        </w:rPr>
        <w:t xml:space="preserve">.2 Changes in </w:t>
      </w:r>
      <w:r w:rsidRPr="0095641F">
        <w:rPr>
          <w:b/>
          <w:color w:val="231F20"/>
        </w:rPr>
        <w:t>h</w:t>
      </w:r>
      <w:r w:rsidR="00DA71B8" w:rsidRPr="0095641F">
        <w:rPr>
          <w:b/>
          <w:color w:val="231F20"/>
        </w:rPr>
        <w:t xml:space="preserve">ow food is cultivated or raised, processed, and distributed and where, how, and by whom our food is prepared also </w:t>
      </w:r>
      <w:r w:rsidRPr="0095641F">
        <w:rPr>
          <w:b/>
          <w:color w:val="231F20"/>
        </w:rPr>
        <w:t>contribute to changing patterns of foodborne illness</w:t>
      </w:r>
      <w:r w:rsidR="00DA71B8" w:rsidRPr="0095641F">
        <w:rPr>
          <w:b/>
          <w:color w:val="231F20"/>
        </w:rPr>
        <w:t>.</w:t>
      </w:r>
      <w:r w:rsidR="00DA71B8" w:rsidRPr="0095641F">
        <w:rPr>
          <w:color w:val="231F20"/>
        </w:rPr>
        <w:t xml:space="preserve"> The demand for processed and ready-to-eat foods has led to the industrialization of food</w:t>
      </w:r>
      <w:r w:rsidR="006C5689">
        <w:rPr>
          <w:color w:val="231F20"/>
        </w:rPr>
        <w:t xml:space="preserve"> production</w:t>
      </w:r>
      <w:r w:rsidR="00DA71B8" w:rsidRPr="0095641F">
        <w:rPr>
          <w:color w:val="231F20"/>
        </w:rPr>
        <w:t xml:space="preserve"> with increasingly</w:t>
      </w:r>
      <w:r w:rsidR="006C5689">
        <w:rPr>
          <w:color w:val="231F20"/>
        </w:rPr>
        <w:t xml:space="preserve"> intense agricultural practices</w:t>
      </w:r>
      <w:r w:rsidR="00DA71B8" w:rsidRPr="0095641F">
        <w:rPr>
          <w:color w:val="231F20"/>
        </w:rPr>
        <w:t xml:space="preserve"> and broadening distribution of food products.</w:t>
      </w:r>
      <w:r w:rsidR="006F3B2F">
        <w:rPr>
          <w:color w:val="231F20"/>
        </w:rPr>
        <w:t xml:space="preserve"> </w:t>
      </w:r>
      <w:r w:rsidR="00DA71B8" w:rsidRPr="0095641F">
        <w:rPr>
          <w:color w:val="231F20"/>
        </w:rPr>
        <w:t>Changes in agricultural, processing, or packaging methods might facilitate bacterial contamination or growth</w:t>
      </w:r>
      <w:r w:rsidR="007F2215">
        <w:rPr>
          <w:color w:val="231F20"/>
        </w:rPr>
        <w:t xml:space="preserve">. Large multi-state </w:t>
      </w:r>
      <w:r w:rsidR="00CF20E9">
        <w:rPr>
          <w:color w:val="231F20"/>
        </w:rPr>
        <w:t xml:space="preserve">STEC </w:t>
      </w:r>
      <w:r w:rsidR="007F2215">
        <w:rPr>
          <w:color w:val="231F20"/>
        </w:rPr>
        <w:t xml:space="preserve">outbreaks associated with leafy green vegetables reflect the </w:t>
      </w:r>
      <w:r w:rsidR="00F7425D">
        <w:rPr>
          <w:color w:val="231F20"/>
        </w:rPr>
        <w:t>challenges of intensive animal and fresh produce production on a shared landscape. T</w:t>
      </w:r>
      <w:r w:rsidR="007F2215">
        <w:rPr>
          <w:color w:val="231F20"/>
        </w:rPr>
        <w:t xml:space="preserve">he scale of these operations </w:t>
      </w:r>
      <w:r w:rsidR="00CF20E9">
        <w:rPr>
          <w:color w:val="231F20"/>
        </w:rPr>
        <w:lastRenderedPageBreak/>
        <w:t>magnifies</w:t>
      </w:r>
      <w:r w:rsidR="007F2215">
        <w:rPr>
          <w:color w:val="231F20"/>
        </w:rPr>
        <w:t xml:space="preserve"> the impact of food safety </w:t>
      </w:r>
      <w:r w:rsidR="00F7425D">
        <w:rPr>
          <w:color w:val="231F20"/>
        </w:rPr>
        <w:t xml:space="preserve">system </w:t>
      </w:r>
      <w:r w:rsidR="007F2215">
        <w:rPr>
          <w:color w:val="231F20"/>
        </w:rPr>
        <w:t xml:space="preserve">failures, resulting in thousands of </w:t>
      </w:r>
      <w:r w:rsidR="00F7425D">
        <w:rPr>
          <w:color w:val="231F20"/>
        </w:rPr>
        <w:t>exposures and potential illnesses across</w:t>
      </w:r>
      <w:r w:rsidR="00DA71B8" w:rsidRPr="0095641F">
        <w:rPr>
          <w:color w:val="231F20"/>
        </w:rPr>
        <w:t xml:space="preserve"> multiple states, and even multiple countries.</w:t>
      </w:r>
    </w:p>
    <w:p w14:paraId="691FFFCD" w14:textId="77777777" w:rsidR="00F7425D" w:rsidRDefault="00F7425D" w:rsidP="00DA71B8">
      <w:pPr>
        <w:spacing w:after="0" w:line="264" w:lineRule="auto"/>
        <w:ind w:right="30"/>
        <w:rPr>
          <w:color w:val="231F20"/>
        </w:rPr>
      </w:pPr>
    </w:p>
    <w:p w14:paraId="33900C27" w14:textId="1EED2744" w:rsidR="00F7425D" w:rsidRDefault="007F2215" w:rsidP="00DA71B8">
      <w:pPr>
        <w:spacing w:after="0" w:line="264" w:lineRule="auto"/>
        <w:ind w:right="30"/>
        <w:rPr>
          <w:color w:val="231F20"/>
        </w:rPr>
      </w:pPr>
      <w:r>
        <w:rPr>
          <w:color w:val="231F20"/>
        </w:rPr>
        <w:t xml:space="preserve">At the same time, a counter trend promoting local food sources and small-scale farm-to table distribution </w:t>
      </w:r>
      <w:r w:rsidR="00F7425D">
        <w:rPr>
          <w:color w:val="231F20"/>
        </w:rPr>
        <w:t>networks</w:t>
      </w:r>
      <w:r w:rsidR="00F7425D" w:rsidRPr="0096342B">
        <w:rPr>
          <w:color w:val="231F20"/>
        </w:rPr>
        <w:t xml:space="preserve"> </w:t>
      </w:r>
      <w:r w:rsidR="00DA71B8" w:rsidRPr="0095641F">
        <w:rPr>
          <w:color w:val="231F20"/>
        </w:rPr>
        <w:t xml:space="preserve">(sometimes termed the “locavore movement”) </w:t>
      </w:r>
      <w:r w:rsidR="00F34381">
        <w:rPr>
          <w:color w:val="231F20"/>
        </w:rPr>
        <w:t xml:space="preserve">has emerged.  </w:t>
      </w:r>
      <w:r w:rsidR="00DA71B8" w:rsidRPr="0095641F">
        <w:rPr>
          <w:color w:val="231F20"/>
        </w:rPr>
        <w:t>The number of small food producers and direct-to-consumer marketing avenues (e.g., farmer’s markets, farm stands, farm-to-school programs, and “pick-your-own operations”) has also risen. According to census data, from 1997 to 2007, direct sales of agricultural products to the public increased by 105%, compared with an increase of 48% for all agricultural sales. Over the same period, the number of farms selling directly to consumers increased by 24%, compared with a 0.5% reduction in the total number of farms.</w:t>
      </w:r>
      <w:r w:rsidR="00125C97">
        <w:rPr>
          <w:color w:val="231F20"/>
        </w:rPr>
        <w:t xml:space="preserve"> </w:t>
      </w:r>
    </w:p>
    <w:p w14:paraId="7C3CC24E" w14:textId="77777777" w:rsidR="00F7425D" w:rsidRDefault="00F7425D" w:rsidP="00DA71B8">
      <w:pPr>
        <w:spacing w:after="0" w:line="264" w:lineRule="auto"/>
        <w:ind w:right="30"/>
        <w:rPr>
          <w:color w:val="231F20"/>
        </w:rPr>
      </w:pPr>
    </w:p>
    <w:p w14:paraId="3AA8BECA" w14:textId="0B0819E6" w:rsidR="00DA71B8" w:rsidRDefault="00DA71B8" w:rsidP="00DA71B8">
      <w:pPr>
        <w:spacing w:after="0" w:line="264" w:lineRule="auto"/>
        <w:ind w:right="30"/>
        <w:rPr>
          <w:color w:val="231F20"/>
        </w:rPr>
      </w:pPr>
      <w:r w:rsidRPr="0095641F">
        <w:rPr>
          <w:color w:val="231F20"/>
        </w:rPr>
        <w:t>The effect of increased consumption of locally produced foods is yet to be determined</w:t>
      </w:r>
      <w:r w:rsidR="00F7425D">
        <w:rPr>
          <w:color w:val="231F20"/>
        </w:rPr>
        <w:t>,</w:t>
      </w:r>
      <w:r w:rsidRPr="0095641F">
        <w:rPr>
          <w:color w:val="231F20"/>
        </w:rPr>
        <w:t xml:space="preserve"> but the consequences of consuming unsafe food </w:t>
      </w:r>
      <w:r w:rsidR="00F7425D">
        <w:rPr>
          <w:color w:val="231F20"/>
        </w:rPr>
        <w:t>apply to</w:t>
      </w:r>
      <w:r w:rsidR="00AE13E7">
        <w:rPr>
          <w:color w:val="231F20"/>
        </w:rPr>
        <w:t xml:space="preserve"> </w:t>
      </w:r>
      <w:r w:rsidR="00F7425D">
        <w:rPr>
          <w:color w:val="231F20"/>
        </w:rPr>
        <w:t>both</w:t>
      </w:r>
      <w:r w:rsidRPr="0095641F">
        <w:rPr>
          <w:color w:val="231F20"/>
        </w:rPr>
        <w:t xml:space="preserve"> small and large producers. </w:t>
      </w:r>
      <w:r w:rsidR="007C6825">
        <w:rPr>
          <w:color w:val="231F20"/>
        </w:rPr>
        <w:t>For</w:t>
      </w:r>
      <w:r w:rsidR="00222C08">
        <w:rPr>
          <w:color w:val="231F20"/>
        </w:rPr>
        <w:t xml:space="preserve"> an individual</w:t>
      </w:r>
      <w:r w:rsidR="007C6825">
        <w:rPr>
          <w:color w:val="231F20"/>
        </w:rPr>
        <w:t xml:space="preserve">, it is equally as bad to get STEC infection </w:t>
      </w:r>
      <w:r w:rsidR="00222C08">
        <w:rPr>
          <w:color w:val="231F20"/>
        </w:rPr>
        <w:t xml:space="preserve">from farm fresh strawberries harvested from a </w:t>
      </w:r>
      <w:r w:rsidR="00F34381">
        <w:rPr>
          <w:color w:val="231F20"/>
        </w:rPr>
        <w:t xml:space="preserve">local </w:t>
      </w:r>
      <w:r w:rsidR="00222C08">
        <w:rPr>
          <w:color w:val="231F20"/>
        </w:rPr>
        <w:t xml:space="preserve">field frequented by wild deer as it is to get STEC infection </w:t>
      </w:r>
      <w:r w:rsidR="007C6825">
        <w:rPr>
          <w:color w:val="231F20"/>
        </w:rPr>
        <w:t xml:space="preserve">from romaine lettuce </w:t>
      </w:r>
      <w:r w:rsidR="00222C08">
        <w:rPr>
          <w:color w:val="231F20"/>
        </w:rPr>
        <w:t>shipped hundreds of miles after contamination</w:t>
      </w:r>
      <w:r w:rsidR="007C6825">
        <w:rPr>
          <w:color w:val="231F20"/>
        </w:rPr>
        <w:t xml:space="preserve"> </w:t>
      </w:r>
      <w:r w:rsidR="00222C08">
        <w:rPr>
          <w:color w:val="231F20"/>
        </w:rPr>
        <w:t>with</w:t>
      </w:r>
      <w:r w:rsidR="007C6825">
        <w:rPr>
          <w:color w:val="231F20"/>
        </w:rPr>
        <w:t xml:space="preserve"> run-off from a</w:t>
      </w:r>
      <w:r w:rsidR="00222C08">
        <w:rPr>
          <w:color w:val="231F20"/>
        </w:rPr>
        <w:t xml:space="preserve"> cattle</w:t>
      </w:r>
      <w:r w:rsidR="007C6825">
        <w:rPr>
          <w:color w:val="231F20"/>
        </w:rPr>
        <w:t xml:space="preserve"> feed lot</w:t>
      </w:r>
      <w:r w:rsidR="00222C08">
        <w:rPr>
          <w:color w:val="231F20"/>
        </w:rPr>
        <w:t xml:space="preserve">. </w:t>
      </w:r>
      <w:r w:rsidR="00AE13E7">
        <w:rPr>
          <w:color w:val="231F20"/>
        </w:rPr>
        <w:t>While f</w:t>
      </w:r>
      <w:r w:rsidRPr="0095641F">
        <w:rPr>
          <w:color w:val="231F20"/>
        </w:rPr>
        <w:t xml:space="preserve">ewer people </w:t>
      </w:r>
      <w:r w:rsidR="00AE13E7">
        <w:rPr>
          <w:color w:val="231F20"/>
        </w:rPr>
        <w:t>may be</w:t>
      </w:r>
      <w:r w:rsidRPr="0095641F">
        <w:rPr>
          <w:color w:val="231F20"/>
        </w:rPr>
        <w:t xml:space="preserve"> affected by a </w:t>
      </w:r>
      <w:r w:rsidR="00AE13E7">
        <w:rPr>
          <w:color w:val="231F20"/>
        </w:rPr>
        <w:t>small producer’s limited distribution system</w:t>
      </w:r>
      <w:r w:rsidRPr="0095641F">
        <w:rPr>
          <w:color w:val="231F20"/>
        </w:rPr>
        <w:t>, impleme</w:t>
      </w:r>
      <w:r w:rsidR="00AE13E7">
        <w:rPr>
          <w:color w:val="231F20"/>
        </w:rPr>
        <w:t xml:space="preserve">nting improved food safety measures may </w:t>
      </w:r>
      <w:r w:rsidRPr="0095641F">
        <w:rPr>
          <w:color w:val="231F20"/>
        </w:rPr>
        <w:t xml:space="preserve">be more challenging </w:t>
      </w:r>
      <w:r w:rsidR="00AE13E7">
        <w:rPr>
          <w:color w:val="231F20"/>
        </w:rPr>
        <w:t xml:space="preserve">for the small producer. </w:t>
      </w:r>
      <w:r w:rsidRPr="0095641F">
        <w:rPr>
          <w:color w:val="231F20"/>
        </w:rPr>
        <w:t>In addition, farm direct sales (i.e., farmers selling produce, eggs, and other foods that they produced directly to retail customers, such as through farmers’ markets and farm stands) are not included among food facilities in the 2011 Food</w:t>
      </w:r>
      <w:r w:rsidR="00AE13E7">
        <w:rPr>
          <w:color w:val="231F20"/>
        </w:rPr>
        <w:t xml:space="preserve"> Modernization and Safety Act. I</w:t>
      </w:r>
      <w:r w:rsidRPr="0095641F">
        <w:rPr>
          <w:color w:val="231F20"/>
        </w:rPr>
        <w:t xml:space="preserve">n some states and local jurisdictions, </w:t>
      </w:r>
      <w:r w:rsidR="00AE13E7">
        <w:rPr>
          <w:color w:val="231F20"/>
        </w:rPr>
        <w:t xml:space="preserve">these sales </w:t>
      </w:r>
      <w:r w:rsidRPr="0095641F">
        <w:rPr>
          <w:color w:val="231F20"/>
        </w:rPr>
        <w:t>have been exempted from food safety regulations that pertain to other food facilities.</w:t>
      </w:r>
    </w:p>
    <w:p w14:paraId="040462B8" w14:textId="77777777" w:rsidR="00AE13E7" w:rsidRPr="0095641F" w:rsidRDefault="00AE13E7" w:rsidP="00DA71B8">
      <w:pPr>
        <w:spacing w:after="0" w:line="264" w:lineRule="auto"/>
        <w:ind w:right="30"/>
        <w:rPr>
          <w:color w:val="231F20"/>
        </w:rPr>
      </w:pPr>
    </w:p>
    <w:p w14:paraId="0D5F883C" w14:textId="3C9A351F" w:rsidR="005C3984" w:rsidRDefault="00DA71B8">
      <w:pPr>
        <w:spacing w:after="0" w:line="264" w:lineRule="auto"/>
        <w:ind w:right="30"/>
        <w:rPr>
          <w:color w:val="231F20"/>
        </w:rPr>
      </w:pPr>
      <w:r w:rsidRPr="0095641F">
        <w:rPr>
          <w:color w:val="231F20"/>
        </w:rPr>
        <w:t xml:space="preserve">By whom and where our food is prepared also plays a role in foodborne </w:t>
      </w:r>
      <w:r w:rsidR="007C6825">
        <w:rPr>
          <w:color w:val="231F20"/>
        </w:rPr>
        <w:t>illnes</w:t>
      </w:r>
      <w:r w:rsidRPr="0095641F">
        <w:rPr>
          <w:color w:val="231F20"/>
        </w:rPr>
        <w:t>s occurrence and outbreaks. Increasingly more Americans eat their meals away from home</w:t>
      </w:r>
      <w:r w:rsidR="000B38A4">
        <w:rPr>
          <w:color w:val="231F20"/>
        </w:rPr>
        <w:t xml:space="preserve">, spending </w:t>
      </w:r>
      <w:r w:rsidR="00A639A1">
        <w:rPr>
          <w:color w:val="231F20"/>
        </w:rPr>
        <w:t>more than 50</w:t>
      </w:r>
      <w:r w:rsidR="000B38A4">
        <w:rPr>
          <w:color w:val="231F20"/>
        </w:rPr>
        <w:t>% of food dollars away from home</w:t>
      </w:r>
      <w:r w:rsidR="00A639A1">
        <w:rPr>
          <w:color w:val="231F20"/>
        </w:rPr>
        <w:t>, since 2010</w:t>
      </w:r>
      <w:r w:rsidR="000B38A4">
        <w:rPr>
          <w:color w:val="231F20"/>
        </w:rPr>
        <w:t xml:space="preserve"> (USDA, ERS)</w:t>
      </w:r>
      <w:r w:rsidRPr="0095641F">
        <w:rPr>
          <w:color w:val="231F20"/>
        </w:rPr>
        <w:t xml:space="preserve">. </w:t>
      </w:r>
      <w:r w:rsidR="00AE13E7">
        <w:rPr>
          <w:color w:val="231F20"/>
        </w:rPr>
        <w:t xml:space="preserve"> </w:t>
      </w:r>
      <w:r w:rsidR="00A639A1">
        <w:rPr>
          <w:color w:val="231F20"/>
        </w:rPr>
        <w:t xml:space="preserve">During this time period there was considerable growth in limited service “fast casual” restaurants that featured more complex food handling than traditional “fast food” restaurants. </w:t>
      </w:r>
      <w:r w:rsidRPr="0095641F">
        <w:rPr>
          <w:color w:val="231F20"/>
        </w:rPr>
        <w:t xml:space="preserve">The increased number of meals eaten away from home most likely has influenced the occurrence of foodborne </w:t>
      </w:r>
      <w:r w:rsidR="007C6825">
        <w:rPr>
          <w:color w:val="231F20"/>
        </w:rPr>
        <w:t>illness</w:t>
      </w:r>
      <w:r w:rsidRPr="0095641F">
        <w:rPr>
          <w:color w:val="231F20"/>
        </w:rPr>
        <w:t xml:space="preserve">. In an analysis of foodborne </w:t>
      </w:r>
      <w:r w:rsidR="007C6825">
        <w:rPr>
          <w:color w:val="231F20"/>
        </w:rPr>
        <w:t>illness</w:t>
      </w:r>
      <w:r w:rsidRPr="0095641F">
        <w:rPr>
          <w:color w:val="231F20"/>
        </w:rPr>
        <w:t xml:space="preserve"> outbreaks reported to CDC during 2009–2016, 61% wer</w:t>
      </w:r>
      <w:r w:rsidR="00AE13E7">
        <w:rPr>
          <w:color w:val="231F20"/>
        </w:rPr>
        <w:t>e associated with restaurants.</w:t>
      </w:r>
      <w:r w:rsidRPr="0095641F">
        <w:rPr>
          <w:color w:val="231F20"/>
        </w:rPr>
        <w:t xml:space="preserve"> In addition, studies of both sporadic and outbreak-associated foodborne illness, including infection with Shiga toxin–producing </w:t>
      </w:r>
      <w:r w:rsidRPr="0095641F">
        <w:rPr>
          <w:i/>
          <w:color w:val="231F20"/>
        </w:rPr>
        <w:t>Escherichia coli</w:t>
      </w:r>
      <w:r w:rsidRPr="0095641F">
        <w:rPr>
          <w:color w:val="231F20"/>
        </w:rPr>
        <w:t xml:space="preserve"> (STEC) O157:H7, </w:t>
      </w:r>
      <w:r w:rsidRPr="0095641F">
        <w:rPr>
          <w:i/>
          <w:color w:val="231F20"/>
        </w:rPr>
        <w:t xml:space="preserve">Salmonella </w:t>
      </w:r>
      <w:proofErr w:type="spellStart"/>
      <w:r w:rsidRPr="0095641F">
        <w:rPr>
          <w:i/>
          <w:color w:val="231F20"/>
        </w:rPr>
        <w:t>enterica</w:t>
      </w:r>
      <w:proofErr w:type="spellEnd"/>
      <w:r w:rsidRPr="0095641F">
        <w:rPr>
          <w:color w:val="231F20"/>
        </w:rPr>
        <w:t xml:space="preserve"> serotypes </w:t>
      </w:r>
      <w:proofErr w:type="spellStart"/>
      <w:r w:rsidRPr="0095641F">
        <w:rPr>
          <w:color w:val="231F20"/>
        </w:rPr>
        <w:t>Enteritidis</w:t>
      </w:r>
      <w:proofErr w:type="spellEnd"/>
      <w:r w:rsidRPr="0095641F">
        <w:rPr>
          <w:color w:val="231F20"/>
        </w:rPr>
        <w:t xml:space="preserve"> and Typhimurium, and </w:t>
      </w:r>
      <w:r w:rsidRPr="0095641F">
        <w:rPr>
          <w:i/>
          <w:color w:val="231F20"/>
        </w:rPr>
        <w:t xml:space="preserve">Campylobacter </w:t>
      </w:r>
      <w:proofErr w:type="spellStart"/>
      <w:r w:rsidRPr="0095641F">
        <w:rPr>
          <w:i/>
          <w:color w:val="231F20"/>
        </w:rPr>
        <w:t>jejuni</w:t>
      </w:r>
      <w:proofErr w:type="spellEnd"/>
      <w:r w:rsidRPr="0095641F">
        <w:rPr>
          <w:color w:val="231F20"/>
        </w:rPr>
        <w:t xml:space="preserve"> suggest that commercial food-service establishments, such as restaurants, play an important role in foodborne </w:t>
      </w:r>
      <w:r w:rsidR="007C6825">
        <w:rPr>
          <w:color w:val="231F20"/>
        </w:rPr>
        <w:t>illness</w:t>
      </w:r>
      <w:r w:rsidRPr="0095641F">
        <w:rPr>
          <w:color w:val="231F20"/>
        </w:rPr>
        <w:t xml:space="preserve"> in the United States.</w:t>
      </w:r>
    </w:p>
    <w:p w14:paraId="45DA8A3C" w14:textId="6666539B" w:rsidR="00ED15DD" w:rsidRDefault="00ED15DD">
      <w:pPr>
        <w:rPr>
          <w:b/>
          <w:color w:val="231F20"/>
          <w:sz w:val="26"/>
          <w:szCs w:val="26"/>
        </w:rPr>
      </w:pPr>
      <w:r>
        <w:rPr>
          <w:b/>
          <w:color w:val="231F20"/>
          <w:sz w:val="26"/>
          <w:szCs w:val="26"/>
        </w:rPr>
        <w:br w:type="page"/>
      </w:r>
    </w:p>
    <w:p w14:paraId="7EA24CFA" w14:textId="77777777" w:rsidR="00DA71B8" w:rsidRDefault="00DA71B8">
      <w:pPr>
        <w:spacing w:after="0" w:line="264" w:lineRule="auto"/>
        <w:ind w:right="30"/>
        <w:rPr>
          <w:b/>
          <w:color w:val="231F20"/>
          <w:sz w:val="26"/>
          <w:szCs w:val="26"/>
        </w:rPr>
      </w:pPr>
    </w:p>
    <w:p w14:paraId="7E16FA8D" w14:textId="59A53F6C" w:rsidR="006F5088" w:rsidRDefault="002958A5">
      <w:pPr>
        <w:rPr>
          <w:b/>
          <w:sz w:val="28"/>
          <w:szCs w:val="28"/>
        </w:rPr>
      </w:pPr>
      <w:r>
        <w:rPr>
          <w:b/>
          <w:sz w:val="28"/>
          <w:szCs w:val="28"/>
        </w:rPr>
        <w:t>1</w:t>
      </w:r>
      <w:r w:rsidR="001F5F0E">
        <w:rPr>
          <w:b/>
          <w:sz w:val="28"/>
          <w:szCs w:val="28"/>
        </w:rPr>
        <w:t>.</w:t>
      </w:r>
      <w:r w:rsidR="00DA71B8">
        <w:rPr>
          <w:b/>
          <w:sz w:val="28"/>
          <w:szCs w:val="28"/>
        </w:rPr>
        <w:t>3</w:t>
      </w:r>
      <w:r w:rsidR="001F5F0E">
        <w:rPr>
          <w:b/>
          <w:sz w:val="28"/>
          <w:szCs w:val="28"/>
        </w:rPr>
        <w:tab/>
      </w:r>
      <w:r w:rsidR="007C6825">
        <w:rPr>
          <w:b/>
          <w:sz w:val="28"/>
          <w:szCs w:val="28"/>
        </w:rPr>
        <w:t>Enhanced</w:t>
      </w:r>
      <w:r w:rsidR="002703BB">
        <w:rPr>
          <w:b/>
          <w:sz w:val="28"/>
          <w:szCs w:val="28"/>
        </w:rPr>
        <w:t xml:space="preserve"> </w:t>
      </w:r>
      <w:r w:rsidR="001F5F0E">
        <w:rPr>
          <w:b/>
          <w:sz w:val="28"/>
          <w:szCs w:val="28"/>
        </w:rPr>
        <w:t>U</w:t>
      </w:r>
      <w:r w:rsidR="00CA482A">
        <w:rPr>
          <w:b/>
          <w:sz w:val="28"/>
          <w:szCs w:val="28"/>
        </w:rPr>
        <w:t>.</w:t>
      </w:r>
      <w:r w:rsidR="001F5F0E">
        <w:rPr>
          <w:b/>
          <w:sz w:val="28"/>
          <w:szCs w:val="28"/>
        </w:rPr>
        <w:t>S</w:t>
      </w:r>
      <w:r w:rsidR="00CA482A">
        <w:rPr>
          <w:b/>
          <w:sz w:val="28"/>
          <w:szCs w:val="28"/>
        </w:rPr>
        <w:t>.</w:t>
      </w:r>
      <w:r w:rsidR="001F5F0E">
        <w:rPr>
          <w:b/>
          <w:sz w:val="28"/>
          <w:szCs w:val="28"/>
        </w:rPr>
        <w:t xml:space="preserve"> Foodborne Illness Surveillance</w:t>
      </w:r>
      <w:r w:rsidR="0028044C">
        <w:rPr>
          <w:b/>
          <w:sz w:val="28"/>
          <w:szCs w:val="28"/>
        </w:rPr>
        <w:t xml:space="preserve"> Systems</w:t>
      </w:r>
    </w:p>
    <w:p w14:paraId="5296FE97" w14:textId="176F39D4" w:rsidR="007D1727" w:rsidRDefault="001F490A" w:rsidP="00E80FD2">
      <w:r>
        <w:t xml:space="preserve">A variety of surveillance </w:t>
      </w:r>
      <w:r w:rsidR="00784D2A">
        <w:t>systems</w:t>
      </w:r>
      <w:r>
        <w:t xml:space="preserve"> are required to </w:t>
      </w:r>
      <w:r w:rsidR="007D1727">
        <w:t xml:space="preserve">identify foodborne illness and </w:t>
      </w:r>
      <w:r w:rsidR="00F771F8">
        <w:t>detect</w:t>
      </w:r>
      <w:r w:rsidR="006C2113">
        <w:t xml:space="preserve"> outbreaks</w:t>
      </w:r>
      <w:r>
        <w:t xml:space="preserve">. Some </w:t>
      </w:r>
      <w:r w:rsidR="006C2113">
        <w:t xml:space="preserve">systems </w:t>
      </w:r>
      <w:r>
        <w:t xml:space="preserve">focus on specific pathogens likely to be transmitted through food and have been used extensively for decades. More recently, new surveillance methods have emerged that </w:t>
      </w:r>
      <w:r w:rsidR="00E80FD2">
        <w:t>provide data</w:t>
      </w:r>
      <w:r>
        <w:t xml:space="preserve"> on food vehicles, settings, pathogens, contributing factors, and environmental antecedents</w:t>
      </w:r>
      <w:r w:rsidR="007D1727">
        <w:t>. Effective</w:t>
      </w:r>
      <w:r w:rsidR="001F5F0E">
        <w:t xml:space="preserve"> surveillance to track cases of foodborne </w:t>
      </w:r>
      <w:r w:rsidR="007D1727">
        <w:t xml:space="preserve">illness </w:t>
      </w:r>
      <w:r w:rsidR="001F5F0E">
        <w:t>and outbreaks</w:t>
      </w:r>
      <w:r w:rsidR="007D1727">
        <w:t xml:space="preserve"> is</w:t>
      </w:r>
      <w:r w:rsidR="001F5F0E">
        <w:t xml:space="preserve"> critical to </w:t>
      </w:r>
      <w:r w:rsidR="00F771F8">
        <w:t>developing effective control strategies.</w:t>
      </w:r>
    </w:p>
    <w:p w14:paraId="5716398D" w14:textId="1FCD7D72" w:rsidR="00DB1DC2" w:rsidRDefault="00554598" w:rsidP="0095641F">
      <w:pPr>
        <w:pStyle w:val="ListParagraph"/>
        <w:ind w:left="0"/>
      </w:pPr>
      <w:r>
        <w:rPr>
          <w:b/>
        </w:rPr>
        <w:t>1</w:t>
      </w:r>
      <w:r w:rsidR="001F5F0E" w:rsidRPr="0095641F">
        <w:rPr>
          <w:b/>
        </w:rPr>
        <w:t>.</w:t>
      </w:r>
      <w:r w:rsidR="00DA71B8">
        <w:rPr>
          <w:b/>
        </w:rPr>
        <w:t>3</w:t>
      </w:r>
      <w:r w:rsidR="001F5F0E" w:rsidRPr="0095641F">
        <w:rPr>
          <w:b/>
        </w:rPr>
        <w:t>.</w:t>
      </w:r>
      <w:r w:rsidR="00F052CD" w:rsidRPr="0095641F">
        <w:rPr>
          <w:b/>
        </w:rPr>
        <w:t>1</w:t>
      </w:r>
      <w:r>
        <w:rPr>
          <w:b/>
        </w:rPr>
        <w:t xml:space="preserve"> </w:t>
      </w:r>
      <w:r w:rsidR="002703BB" w:rsidRPr="0095641F">
        <w:rPr>
          <w:b/>
        </w:rPr>
        <w:t xml:space="preserve">Changes in </w:t>
      </w:r>
      <w:r>
        <w:rPr>
          <w:b/>
        </w:rPr>
        <w:t>s</w:t>
      </w:r>
      <w:r w:rsidR="001F5F0E" w:rsidRPr="0095641F">
        <w:rPr>
          <w:b/>
        </w:rPr>
        <w:t xml:space="preserve">urveillance </w:t>
      </w:r>
      <w:r w:rsidR="00F052CD" w:rsidRPr="0095641F">
        <w:rPr>
          <w:b/>
        </w:rPr>
        <w:t>for</w:t>
      </w:r>
      <w:r>
        <w:rPr>
          <w:b/>
        </w:rPr>
        <w:t xml:space="preserve"> h</w:t>
      </w:r>
      <w:r w:rsidR="00F052CD" w:rsidRPr="0095641F">
        <w:rPr>
          <w:b/>
        </w:rPr>
        <w:t xml:space="preserve">uman </w:t>
      </w:r>
      <w:r>
        <w:rPr>
          <w:b/>
        </w:rPr>
        <w:t>i</w:t>
      </w:r>
      <w:r w:rsidR="00F052CD" w:rsidRPr="0095641F">
        <w:rPr>
          <w:b/>
        </w:rPr>
        <w:t>llness</w:t>
      </w:r>
      <w:r>
        <w:rPr>
          <w:b/>
        </w:rPr>
        <w:t xml:space="preserve"> have affected how outbreaks are detected (Chapter 4) and investigated (Chapter 5). </w:t>
      </w:r>
      <w:r w:rsidR="00DB1DC2">
        <w:rPr>
          <w:b/>
        </w:rPr>
        <w:t xml:space="preserve"> </w:t>
      </w:r>
      <w:r w:rsidR="001F5F0E">
        <w:t>All states and territories have legal requirements for the reporting of certain diseases and conditions, including diseases likely to be foodborne</w:t>
      </w:r>
      <w:r w:rsidR="00DE79CA">
        <w:t xml:space="preserve"> (e.g., salmonellosis, </w:t>
      </w:r>
      <w:proofErr w:type="spellStart"/>
      <w:r w:rsidR="00DE79CA">
        <w:t>campylobacteriosis</w:t>
      </w:r>
      <w:proofErr w:type="spellEnd"/>
      <w:r w:rsidR="00DE79CA">
        <w:t>, and STEC infection)</w:t>
      </w:r>
      <w:r w:rsidR="001F5F0E">
        <w:t>, by healthcare providers and laboratories to the local</w:t>
      </w:r>
      <w:r w:rsidR="00DE79CA">
        <w:t>,</w:t>
      </w:r>
      <w:r w:rsidR="001F5F0E">
        <w:t xml:space="preserve"> state</w:t>
      </w:r>
      <w:r w:rsidR="00DE79CA">
        <w:t>, or territorial</w:t>
      </w:r>
      <w:r w:rsidR="001F5F0E">
        <w:t xml:space="preserve"> public health agency</w:t>
      </w:r>
      <w:r w:rsidR="00DB1DC2">
        <w:t xml:space="preserve"> (see Chapter 2)</w:t>
      </w:r>
      <w:r w:rsidR="005A45C2">
        <w:t>.</w:t>
      </w:r>
      <w:r w:rsidR="00DB1DC2">
        <w:t xml:space="preserve">  Local and state agencies also receive and respond to complaints of illness directly from the public.   Developments in laboratory practices in clinical and public health laboratories, and improved information management systems and social media are transforming surveillance activities.</w:t>
      </w:r>
    </w:p>
    <w:p w14:paraId="2CF73491" w14:textId="23EFE591" w:rsidR="00764D04" w:rsidRDefault="00D356FF" w:rsidP="0095641F">
      <w:pPr>
        <w:tabs>
          <w:tab w:val="left" w:pos="270"/>
        </w:tabs>
      </w:pPr>
      <w:r>
        <w:t>•</w:t>
      </w:r>
      <w:r>
        <w:tab/>
      </w:r>
      <w:r w:rsidRPr="0095641F">
        <w:t>Molecular s</w:t>
      </w:r>
      <w:r w:rsidR="00DB1DC2" w:rsidRPr="00D356FF">
        <w:t>ubtyping</w:t>
      </w:r>
      <w:r w:rsidR="00DB1DC2">
        <w:t xml:space="preserve"> </w:t>
      </w:r>
      <w:r>
        <w:t>by public health laboratories has been the basis for national, pathogen-specific surveillance since th</w:t>
      </w:r>
      <w:r w:rsidR="00345FF9">
        <w:t xml:space="preserve">e initiation of </w:t>
      </w:r>
      <w:proofErr w:type="spellStart"/>
      <w:r w:rsidR="00345FF9">
        <w:t>PulseNet</w:t>
      </w:r>
      <w:proofErr w:type="spellEnd"/>
      <w:r w:rsidR="00345FF9">
        <w:t xml:space="preserve"> in 1996</w:t>
      </w:r>
      <w:r>
        <w:t>.  The use of</w:t>
      </w:r>
      <w:r w:rsidR="00DB1DC2">
        <w:t xml:space="preserve"> pulsed-f</w:t>
      </w:r>
      <w:r w:rsidR="00764D04">
        <w:t>ield gel electrophoresis (PFGE)</w:t>
      </w:r>
      <w:r w:rsidR="00DB1DC2">
        <w:t xml:space="preserve"> </w:t>
      </w:r>
      <w:r>
        <w:t>increased the</w:t>
      </w:r>
      <w:r w:rsidR="00DB1DC2">
        <w:t xml:space="preserve"> ability to link isolates from distant locations and thereby to infer epidemiologic relatedness</w:t>
      </w:r>
      <w:r w:rsidR="009B6F5A">
        <w:t>; this</w:t>
      </w:r>
      <w:r w:rsidR="00DB1DC2">
        <w:t xml:space="preserve"> revolutionized the </w:t>
      </w:r>
      <w:r w:rsidR="009B6F5A">
        <w:t xml:space="preserve">detection and </w:t>
      </w:r>
      <w:r w:rsidR="00DB1DC2">
        <w:t>investigation</w:t>
      </w:r>
      <w:r w:rsidR="009B6F5A">
        <w:t xml:space="preserve"> of foodborne disease outbreaks and</w:t>
      </w:r>
      <w:r>
        <w:t xml:space="preserve"> led to prevention of illnesses. </w:t>
      </w:r>
      <w:r w:rsidR="00DB1DC2">
        <w:t xml:space="preserve">However, PFGE </w:t>
      </w:r>
      <w:r>
        <w:t xml:space="preserve">provided limited information about the isolate itself. </w:t>
      </w:r>
      <w:r w:rsidR="00DB1DC2">
        <w:t xml:space="preserve">The advent of rapid bacterial sequencing technology and the development of informatics tools </w:t>
      </w:r>
      <w:r>
        <w:t xml:space="preserve">to accommodate “whole genome sequencing” (WGS) </w:t>
      </w:r>
      <w:r w:rsidR="00DB1DC2">
        <w:t>is rapidly being deployed to public health labor</w:t>
      </w:r>
      <w:r w:rsidR="00070558">
        <w:t>a</w:t>
      </w:r>
      <w:r w:rsidR="00764D04">
        <w:t>tories across the United States, to replace PFGE as the primary molecular subtyping tool for pathogen-specific surveillance.</w:t>
      </w:r>
    </w:p>
    <w:p w14:paraId="47BC110A" w14:textId="54E164BF" w:rsidR="00A30013" w:rsidRDefault="009B6F5A" w:rsidP="0095641F">
      <w:pPr>
        <w:tabs>
          <w:tab w:val="left" w:pos="270"/>
        </w:tabs>
      </w:pPr>
      <w:r>
        <w:t>•</w:t>
      </w:r>
      <w:r>
        <w:tab/>
        <w:t>Concurrent</w:t>
      </w:r>
      <w:r w:rsidR="00764D04">
        <w:t xml:space="preserve"> with the development of WGS to improve molecular subtyping,</w:t>
      </w:r>
      <w:r w:rsidR="00D356FF">
        <w:t xml:space="preserve"> </w:t>
      </w:r>
      <w:r w:rsidR="00764D04">
        <w:t xml:space="preserve">clinical laboratories have moved away from traditional stool culture in favor of </w:t>
      </w:r>
      <w:r w:rsidR="00D356FF">
        <w:t xml:space="preserve">Culture-Independent Diagnostic Tests </w:t>
      </w:r>
      <w:r w:rsidR="00764D04">
        <w:t>(CIDT</w:t>
      </w:r>
      <w:r>
        <w:t>s</w:t>
      </w:r>
      <w:r w:rsidR="00764D04">
        <w:t xml:space="preserve">). </w:t>
      </w:r>
      <w:r w:rsidR="00D356FF">
        <w:t xml:space="preserve">These methods can rapidly identify pathogens and expedite treatment decisions, but they do not yield the bacterial isolates required by public health officials. Many public health jurisdictions require submission of CIDT-positive specimens for subsequent culture and subtyping—but this </w:t>
      </w:r>
      <w:r w:rsidR="00764D04">
        <w:t xml:space="preserve">shifts the burden of isolation from the clinical laboratory to the public health laboratory, and adds to the timeline for cluster recognition. </w:t>
      </w:r>
      <w:r w:rsidR="00D356FF">
        <w:t xml:space="preserve"> Conversely, CIDTs may be more sensitive and offer the prospect of detecting pathogens (e.g., </w:t>
      </w:r>
      <w:proofErr w:type="spellStart"/>
      <w:r w:rsidR="00D356FF">
        <w:t>enterotoxigenic</w:t>
      </w:r>
      <w:proofErr w:type="spellEnd"/>
      <w:r w:rsidR="00D356FF">
        <w:t xml:space="preserve"> </w:t>
      </w:r>
      <w:r w:rsidR="00D356FF" w:rsidRPr="0095641F">
        <w:rPr>
          <w:i/>
        </w:rPr>
        <w:t>Escherichia coli</w:t>
      </w:r>
      <w:r w:rsidR="00D356FF">
        <w:t>) that elude detection by culture.</w:t>
      </w:r>
    </w:p>
    <w:p w14:paraId="3063DEFD" w14:textId="405493C7" w:rsidR="00DB1DC2" w:rsidRDefault="00A30013" w:rsidP="0095641F">
      <w:pPr>
        <w:pStyle w:val="ListParagraph"/>
        <w:numPr>
          <w:ilvl w:val="0"/>
          <w:numId w:val="15"/>
        </w:numPr>
        <w:tabs>
          <w:tab w:val="left" w:pos="270"/>
        </w:tabs>
        <w:ind w:left="0" w:firstLine="0"/>
      </w:pPr>
      <w:r>
        <w:t>To compensate for the delayed recognition of clusters and reduced cluste</w:t>
      </w:r>
      <w:r w:rsidR="009B6F5A">
        <w:t>r sizes, improved epidemiologic</w:t>
      </w:r>
      <w:r>
        <w:t xml:space="preserve"> investigation practices have been developed including the standardization of common data elements for interviewing cases, the use of standardized hypothesis generating questionnaires, </w:t>
      </w:r>
      <w:r w:rsidR="009B6F5A">
        <w:t xml:space="preserve">increased use of </w:t>
      </w:r>
      <w:r w:rsidR="00B3078B">
        <w:t xml:space="preserve">shopper card data, </w:t>
      </w:r>
      <w:r>
        <w:t xml:space="preserve">aggregation of case exposures and comparison with population reference standards, and improved sub-cluster investigation and informational </w:t>
      </w:r>
      <w:proofErr w:type="spellStart"/>
      <w:r>
        <w:t>traceback</w:t>
      </w:r>
      <w:proofErr w:type="spellEnd"/>
      <w:r>
        <w:t xml:space="preserve"> methods to </w:t>
      </w:r>
      <w:r w:rsidR="005B1A46">
        <w:t>improve the specificity of exposure assessments.</w:t>
      </w:r>
      <w:r w:rsidR="00390FCF">
        <w:t xml:space="preserve"> </w:t>
      </w:r>
    </w:p>
    <w:p w14:paraId="06A19946" w14:textId="7E8BBD65" w:rsidR="00D74099" w:rsidRDefault="00D74099" w:rsidP="0095641F">
      <w:pPr>
        <w:pStyle w:val="ListParagraph"/>
        <w:ind w:left="0"/>
      </w:pPr>
    </w:p>
    <w:p w14:paraId="0FB8BBAC" w14:textId="2C5EE66E" w:rsidR="00390FCF" w:rsidRDefault="0014061E" w:rsidP="0095641F">
      <w:pPr>
        <w:pStyle w:val="ListParagraph"/>
        <w:numPr>
          <w:ilvl w:val="0"/>
          <w:numId w:val="13"/>
        </w:numPr>
        <w:tabs>
          <w:tab w:val="left" w:pos="270"/>
        </w:tabs>
        <w:ind w:left="0" w:firstLine="0"/>
      </w:pPr>
      <w:r>
        <w:lastRenderedPageBreak/>
        <w:t>The principles of f</w:t>
      </w:r>
      <w:r w:rsidR="00711934">
        <w:t>oodborne illness complaint</w:t>
      </w:r>
      <w:r>
        <w:t xml:space="preserve"> surveillance are being standardized (Chapter 4). </w:t>
      </w:r>
      <w:r w:rsidR="00711934">
        <w:t xml:space="preserve"> </w:t>
      </w:r>
      <w:r>
        <w:t>The value of us</w:t>
      </w:r>
      <w:r w:rsidR="008870DC">
        <w:t xml:space="preserve">ing </w:t>
      </w:r>
      <w:r w:rsidR="00711934">
        <w:t>electronic database</w:t>
      </w:r>
      <w:r w:rsidR="008870DC">
        <w:t>s</w:t>
      </w:r>
      <w:r w:rsidR="00711934">
        <w:t xml:space="preserve"> </w:t>
      </w:r>
      <w:r w:rsidR="00E8100F">
        <w:t xml:space="preserve">to </w:t>
      </w:r>
      <w:r w:rsidR="00711934">
        <w:t>review and analy</w:t>
      </w:r>
      <w:r>
        <w:t xml:space="preserve">ze complaints, and </w:t>
      </w:r>
      <w:r w:rsidR="00E8100F">
        <w:t xml:space="preserve">to </w:t>
      </w:r>
      <w:r>
        <w:t>link complaints with pathogen-sp</w:t>
      </w:r>
      <w:r w:rsidR="00E8100F">
        <w:t>ecific surveillance systems has</w:t>
      </w:r>
      <w:r>
        <w:t xml:space="preserve"> been demonstrated.  Numerous social media platforms have been evaluated to assess their potential utility to enhance conventional complaint surveillance.</w:t>
      </w:r>
      <w:r w:rsidR="00390FCF">
        <w:t xml:space="preserve"> To the extent that these can facilitate linking illnesses to exposure, rather than just reinforcing the “last meal eaten” bias, they may warrant attention from public health agencies.</w:t>
      </w:r>
    </w:p>
    <w:p w14:paraId="0EA1AFD2" w14:textId="4B4048A2" w:rsidR="00D74099" w:rsidRDefault="00D74099" w:rsidP="0095641F">
      <w:pPr>
        <w:pStyle w:val="ListParagraph"/>
      </w:pPr>
    </w:p>
    <w:p w14:paraId="125099BE" w14:textId="6F906D5F" w:rsidR="00827FAE" w:rsidRDefault="00390FCF" w:rsidP="0095641F">
      <w:pPr>
        <w:pStyle w:val="ListParagraph"/>
        <w:numPr>
          <w:ilvl w:val="0"/>
          <w:numId w:val="14"/>
        </w:numPr>
        <w:tabs>
          <w:tab w:val="left" w:pos="270"/>
        </w:tabs>
        <w:ind w:left="0" w:firstLine="0"/>
        <w:rPr>
          <w:color w:val="231F20"/>
        </w:rPr>
      </w:pPr>
      <w:r w:rsidRPr="0095641F">
        <w:rPr>
          <w:color w:val="231F20"/>
        </w:rPr>
        <w:t xml:space="preserve">Standards </w:t>
      </w:r>
      <w:r>
        <w:rPr>
          <w:color w:val="231F20"/>
        </w:rPr>
        <w:t xml:space="preserve">and procedures </w:t>
      </w:r>
      <w:r w:rsidRPr="0095641F">
        <w:rPr>
          <w:color w:val="231F20"/>
        </w:rPr>
        <w:t xml:space="preserve">for outbreak reporting </w:t>
      </w:r>
      <w:r>
        <w:rPr>
          <w:color w:val="231F20"/>
        </w:rPr>
        <w:t xml:space="preserve">have been developed for </w:t>
      </w:r>
      <w:r w:rsidR="00827FAE" w:rsidRPr="0095641F">
        <w:rPr>
          <w:color w:val="231F20"/>
        </w:rPr>
        <w:t>The National Outbreak Surveillance System (NORS)</w:t>
      </w:r>
      <w:r>
        <w:rPr>
          <w:color w:val="231F20"/>
        </w:rPr>
        <w:t xml:space="preserve">. NORS </w:t>
      </w:r>
      <w:r w:rsidR="00827FAE" w:rsidRPr="0095641F">
        <w:rPr>
          <w:color w:val="231F20"/>
        </w:rPr>
        <w:t xml:space="preserve">collects </w:t>
      </w:r>
      <w:r>
        <w:rPr>
          <w:color w:val="231F20"/>
        </w:rPr>
        <w:t xml:space="preserve">outbreak </w:t>
      </w:r>
      <w:r w:rsidR="00827FAE" w:rsidRPr="0095641F">
        <w:rPr>
          <w:color w:val="231F20"/>
        </w:rPr>
        <w:t>reports from public health agencies</w:t>
      </w:r>
      <w:r>
        <w:rPr>
          <w:color w:val="231F20"/>
        </w:rPr>
        <w:t xml:space="preserve">, </w:t>
      </w:r>
      <w:r w:rsidR="00827FAE" w:rsidRPr="0095641F">
        <w:rPr>
          <w:color w:val="231F20"/>
        </w:rPr>
        <w:t>summari</w:t>
      </w:r>
      <w:r>
        <w:rPr>
          <w:color w:val="231F20"/>
        </w:rPr>
        <w:t>zes</w:t>
      </w:r>
      <w:r w:rsidR="00827FAE" w:rsidRPr="0095641F">
        <w:rPr>
          <w:color w:val="231F20"/>
        </w:rPr>
        <w:t xml:space="preserve"> the data annually, and makes them available to the public through the NORS dashboard (</w:t>
      </w:r>
      <w:hyperlink r:id="rId10" w:history="1">
        <w:r w:rsidR="00827FAE" w:rsidRPr="00390FCF">
          <w:rPr>
            <w:rStyle w:val="Hyperlink"/>
          </w:rPr>
          <w:t>www.cdc.gov/fdoss/nors-dashboard.html</w:t>
        </w:r>
      </w:hyperlink>
      <w:r w:rsidR="00827FAE" w:rsidRPr="0095641F">
        <w:rPr>
          <w:color w:val="231F20"/>
        </w:rPr>
        <w:t>). CDC, USDA-FSIS, FDA, and other investigating agencies analyze these data to improve the understanding of the human health impact of foodborne disease outbreaks and the pathogens, foods, and settings involved in these outbreaks.</w:t>
      </w:r>
    </w:p>
    <w:p w14:paraId="011AB767" w14:textId="77777777" w:rsidR="00390FCF" w:rsidRPr="00390FCF" w:rsidRDefault="00390FCF" w:rsidP="0095641F">
      <w:pPr>
        <w:pStyle w:val="ListParagraph"/>
        <w:tabs>
          <w:tab w:val="left" w:pos="270"/>
        </w:tabs>
        <w:ind w:left="0"/>
        <w:rPr>
          <w:color w:val="231F20"/>
        </w:rPr>
      </w:pPr>
    </w:p>
    <w:p w14:paraId="707FF167" w14:textId="1D7308EB" w:rsidR="00390FCF" w:rsidRPr="0095641F" w:rsidRDefault="00390FCF" w:rsidP="0095641F">
      <w:pPr>
        <w:pStyle w:val="ListParagraph"/>
        <w:numPr>
          <w:ilvl w:val="0"/>
          <w:numId w:val="14"/>
        </w:numPr>
        <w:tabs>
          <w:tab w:val="left" w:pos="270"/>
        </w:tabs>
        <w:ind w:left="0" w:firstLine="0"/>
        <w:rPr>
          <w:color w:val="231F20"/>
        </w:rPr>
      </w:pPr>
      <w:r w:rsidRPr="0095641F">
        <w:t xml:space="preserve">Specialized surveillance networks have been developed for </w:t>
      </w:r>
      <w:r>
        <w:t xml:space="preserve">specific pathogens. </w:t>
      </w:r>
      <w:r w:rsidR="00471EE3">
        <w:t xml:space="preserve">For example, </w:t>
      </w:r>
      <w:proofErr w:type="spellStart"/>
      <w:r>
        <w:t>CaliciNet</w:t>
      </w:r>
      <w:proofErr w:type="spellEnd"/>
      <w:r>
        <w:t xml:space="preserve"> is a norovirus outbreak surveillance network of local, state and federal public health laboratories</w:t>
      </w:r>
      <w:r w:rsidR="00471EE3">
        <w:t>. Network partners perform</w:t>
      </w:r>
      <w:r>
        <w:t xml:space="preserve"> </w:t>
      </w:r>
      <w:r w:rsidR="00471EE3">
        <w:t>v</w:t>
      </w:r>
      <w:r>
        <w:t>iral sequencing and upload</w:t>
      </w:r>
      <w:r w:rsidR="00471EE3">
        <w:t xml:space="preserve"> sequences</w:t>
      </w:r>
      <w:r>
        <w:t xml:space="preserve"> into </w:t>
      </w:r>
      <w:proofErr w:type="spellStart"/>
      <w:r>
        <w:t>CaliciNet</w:t>
      </w:r>
      <w:proofErr w:type="spellEnd"/>
      <w:r>
        <w:t xml:space="preserve"> </w:t>
      </w:r>
      <w:r w:rsidR="00471EE3">
        <w:t>to</w:t>
      </w:r>
      <w:r>
        <w:t xml:space="preserve"> monitor circulating strains, and identif</w:t>
      </w:r>
      <w:r w:rsidR="00471EE3">
        <w:t>y</w:t>
      </w:r>
      <w:r>
        <w:t xml:space="preserve"> newly emerging norovirus strains. </w:t>
      </w:r>
    </w:p>
    <w:p w14:paraId="1F897549" w14:textId="3F1A0BF4" w:rsidR="003F44AE" w:rsidRPr="0095641F" w:rsidRDefault="00D74099" w:rsidP="00EE5EFA">
      <w:r w:rsidRPr="0095641F">
        <w:rPr>
          <w:b/>
        </w:rPr>
        <w:t>1</w:t>
      </w:r>
      <w:r w:rsidR="003F44AE" w:rsidRPr="0095641F">
        <w:rPr>
          <w:b/>
        </w:rPr>
        <w:t>.</w:t>
      </w:r>
      <w:r w:rsidR="00DA71B8">
        <w:rPr>
          <w:b/>
        </w:rPr>
        <w:t>3</w:t>
      </w:r>
      <w:r w:rsidR="003F44AE" w:rsidRPr="0095641F">
        <w:rPr>
          <w:b/>
        </w:rPr>
        <w:t>.</w:t>
      </w:r>
      <w:r w:rsidR="00900AC6" w:rsidRPr="0095641F">
        <w:rPr>
          <w:b/>
        </w:rPr>
        <w:t>2</w:t>
      </w:r>
      <w:r w:rsidR="003F44AE" w:rsidRPr="0095641F">
        <w:rPr>
          <w:b/>
        </w:rPr>
        <w:t xml:space="preserve"> </w:t>
      </w:r>
      <w:r w:rsidR="00F74AFD">
        <w:rPr>
          <w:b/>
        </w:rPr>
        <w:t>S</w:t>
      </w:r>
      <w:r w:rsidR="003F44AE" w:rsidRPr="0095641F">
        <w:rPr>
          <w:b/>
        </w:rPr>
        <w:t xml:space="preserve">urveillance for </w:t>
      </w:r>
      <w:r w:rsidR="005E12CB">
        <w:rPr>
          <w:b/>
        </w:rPr>
        <w:t>f</w:t>
      </w:r>
      <w:r w:rsidR="003F44AE" w:rsidRPr="0095641F">
        <w:rPr>
          <w:b/>
        </w:rPr>
        <w:t xml:space="preserve">ood </w:t>
      </w:r>
      <w:r w:rsidR="005E12CB">
        <w:rPr>
          <w:b/>
        </w:rPr>
        <w:t>p</w:t>
      </w:r>
      <w:r w:rsidR="003F44AE" w:rsidRPr="0095641F">
        <w:rPr>
          <w:b/>
        </w:rPr>
        <w:t xml:space="preserve">reparation </w:t>
      </w:r>
      <w:r w:rsidR="005E12CB">
        <w:rPr>
          <w:b/>
        </w:rPr>
        <w:t>hazards and environmental assessment</w:t>
      </w:r>
      <w:r w:rsidR="00F30A86">
        <w:rPr>
          <w:b/>
        </w:rPr>
        <w:t>s</w:t>
      </w:r>
      <w:r w:rsidR="005E12CB">
        <w:rPr>
          <w:b/>
        </w:rPr>
        <w:t xml:space="preserve"> of outbreak</w:t>
      </w:r>
      <w:r w:rsidR="00F30A86">
        <w:rPr>
          <w:b/>
        </w:rPr>
        <w:t>s ha</w:t>
      </w:r>
      <w:r w:rsidR="00E8100F">
        <w:rPr>
          <w:b/>
        </w:rPr>
        <w:t>s</w:t>
      </w:r>
      <w:r w:rsidR="00F30A86">
        <w:rPr>
          <w:b/>
        </w:rPr>
        <w:t xml:space="preserve"> been developed to identify root causes (Chapter 5) and improve preventive controls (Chapter 6).  </w:t>
      </w:r>
      <w:r w:rsidR="00F30A86">
        <w:t>Routin</w:t>
      </w:r>
      <w:r w:rsidR="00F30A86" w:rsidRPr="0095641F">
        <w:t>e</w:t>
      </w:r>
      <w:r w:rsidR="00F30A86">
        <w:t xml:space="preserve"> food safety inspections are conducted for all licensed food service establish</w:t>
      </w:r>
      <w:r w:rsidR="00276EB8">
        <w:t>ments by a</w:t>
      </w:r>
      <w:r w:rsidR="00276EB8" w:rsidRPr="0060195B">
        <w:rPr>
          <w:color w:val="231F20"/>
        </w:rPr>
        <w:t xml:space="preserve">pproximately </w:t>
      </w:r>
      <w:r w:rsidR="00B3078B" w:rsidRPr="0060195B">
        <w:rPr>
          <w:color w:val="231F20"/>
        </w:rPr>
        <w:t>3</w:t>
      </w:r>
      <w:r w:rsidR="001902C4">
        <w:rPr>
          <w:color w:val="231F20"/>
        </w:rPr>
        <w:t>,</w:t>
      </w:r>
      <w:r w:rsidR="00B3078B" w:rsidRPr="0060195B">
        <w:rPr>
          <w:color w:val="231F20"/>
        </w:rPr>
        <w:t>000 local</w:t>
      </w:r>
      <w:r w:rsidR="00B3078B">
        <w:rPr>
          <w:color w:val="231F20"/>
        </w:rPr>
        <w:t xml:space="preserve"> and </w:t>
      </w:r>
      <w:r w:rsidR="00276EB8" w:rsidRPr="0060195B">
        <w:rPr>
          <w:color w:val="231F20"/>
        </w:rPr>
        <w:t>75 state and territorial agencies</w:t>
      </w:r>
      <w:r w:rsidR="00276EB8">
        <w:rPr>
          <w:color w:val="231F20"/>
        </w:rPr>
        <w:t>.</w:t>
      </w:r>
      <w:r w:rsidR="00276EB8" w:rsidRPr="0060195B">
        <w:rPr>
          <w:color w:val="231F20"/>
        </w:rPr>
        <w:t xml:space="preserve"> </w:t>
      </w:r>
      <w:r w:rsidR="00B3078B">
        <w:t>Although</w:t>
      </w:r>
      <w:r w:rsidR="00F30A86">
        <w:t xml:space="preserve"> traditionally conducted to ensure that food service establishments were operating within the provisions of the Food Code, inspection results </w:t>
      </w:r>
      <w:r w:rsidR="00B3078B">
        <w:t>are being</w:t>
      </w:r>
      <w:r w:rsidR="00F30A86">
        <w:t xml:space="preserve"> increasingly displayed at the point of service or on-line to provide information to consumers </w:t>
      </w:r>
      <w:r w:rsidR="00C1302F">
        <w:t xml:space="preserve">regarding potential food safety risks.  A growing body of evidence suggests that such public disclosure of inspection results may </w:t>
      </w:r>
      <w:r w:rsidR="00B3078B">
        <w:t xml:space="preserve">improve restaurant inspection results and </w:t>
      </w:r>
      <w:r w:rsidR="00C1302F">
        <w:t xml:space="preserve">reduce the risk of illness transmission </w:t>
      </w:r>
      <w:r w:rsidR="00B3078B">
        <w:t>to patrons</w:t>
      </w:r>
      <w:r w:rsidR="00C1302F">
        <w:t>.</w:t>
      </w:r>
      <w:r w:rsidR="00276EB8">
        <w:t xml:space="preserve"> </w:t>
      </w:r>
    </w:p>
    <w:p w14:paraId="18B9E039" w14:textId="38B99584" w:rsidR="00276EB8" w:rsidRPr="001902C4" w:rsidRDefault="00276EB8" w:rsidP="001902C4">
      <w:pPr>
        <w:pStyle w:val="ListParagraph"/>
        <w:numPr>
          <w:ilvl w:val="0"/>
          <w:numId w:val="14"/>
        </w:numPr>
        <w:tabs>
          <w:tab w:val="left" w:pos="180"/>
        </w:tabs>
        <w:ind w:left="0" w:firstLine="0"/>
        <w:rPr>
          <w:color w:val="231F20"/>
        </w:rPr>
      </w:pPr>
      <w:r w:rsidRPr="0095641F">
        <w:rPr>
          <w:color w:val="231F20"/>
        </w:rPr>
        <w:t>In order to standardize assessment of retail food risk factors</w:t>
      </w:r>
      <w:r>
        <w:rPr>
          <w:b/>
          <w:color w:val="231F20"/>
        </w:rPr>
        <w:t>,</w:t>
      </w:r>
      <w:r w:rsidR="00FF577E">
        <w:rPr>
          <w:color w:val="231F20"/>
        </w:rPr>
        <w:t xml:space="preserve"> </w:t>
      </w:r>
      <w:r w:rsidR="00900AC6" w:rsidRPr="0095641F">
        <w:rPr>
          <w:color w:val="231F20"/>
        </w:rPr>
        <w:t xml:space="preserve">FDA initiated </w:t>
      </w:r>
      <w:r>
        <w:rPr>
          <w:color w:val="231F20"/>
        </w:rPr>
        <w:t>the R</w:t>
      </w:r>
      <w:r w:rsidR="00900AC6" w:rsidRPr="0095641F">
        <w:rPr>
          <w:color w:val="231F20"/>
        </w:rPr>
        <w:t>etail Food Risk Factor Study</w:t>
      </w:r>
      <w:r>
        <w:rPr>
          <w:color w:val="231F20"/>
        </w:rPr>
        <w:t xml:space="preserve"> </w:t>
      </w:r>
      <w:r w:rsidR="00900AC6" w:rsidRPr="00816B71">
        <w:rPr>
          <w:rFonts w:asciiTheme="majorHAnsi" w:hAnsiTheme="majorHAnsi" w:cstheme="majorHAnsi"/>
          <w:color w:val="333333"/>
        </w:rPr>
        <w:t>to measure the occurrence of practices and behaviors commonly identified as contributing factors in foodborne illness outbreaks</w:t>
      </w:r>
      <w:r w:rsidR="001902C4" w:rsidRPr="001902C4">
        <w:rPr>
          <w:color w:val="231F20"/>
        </w:rPr>
        <w:t xml:space="preserve"> </w:t>
      </w:r>
      <w:r w:rsidR="001902C4">
        <w:rPr>
          <w:color w:val="231F20"/>
        </w:rPr>
        <w:t>(</w:t>
      </w:r>
      <w:hyperlink r:id="rId11" w:history="1">
        <w:r w:rsidR="001902C4" w:rsidRPr="008B09B9">
          <w:rPr>
            <w:rStyle w:val="Hyperlink"/>
          </w:rPr>
          <w:t>https://www.fda.gov/Food/GuidanceRegulation/RetailFoodProtection/FoodborneIllnessRiskFactorReduction/</w:t>
        </w:r>
      </w:hyperlink>
      <w:r w:rsidR="001902C4">
        <w:rPr>
          <w:color w:val="231F20"/>
        </w:rPr>
        <w:t xml:space="preserve">). </w:t>
      </w:r>
      <w:r w:rsidR="00900AC6" w:rsidRPr="001902C4">
        <w:rPr>
          <w:color w:val="231F20"/>
        </w:rPr>
        <w:t>Data from the initial study were collected in 1998, 2003 and 2008 and, documented progress toward the goal of reducing risk factor at retail establishments</w:t>
      </w:r>
      <w:r w:rsidR="001902C4" w:rsidRPr="001902C4">
        <w:rPr>
          <w:color w:val="231F20"/>
        </w:rPr>
        <w:t xml:space="preserve"> (</w:t>
      </w:r>
      <w:r w:rsidR="00282DAC">
        <w:t xml:space="preserve">Five of the nine facility types showed a statistically significant improvement in </w:t>
      </w:r>
      <w:r w:rsidR="00B3078B">
        <w:t>compliance</w:t>
      </w:r>
      <w:r w:rsidR="00282DAC">
        <w:t xml:space="preserve"> for all 42 data items combined during the study period.</w:t>
      </w:r>
      <w:r w:rsidR="00282DAC" w:rsidRPr="001902C4">
        <w:rPr>
          <w:color w:val="231F20"/>
        </w:rPr>
        <w:t xml:space="preserve"> </w:t>
      </w:r>
      <w:r w:rsidRPr="001902C4">
        <w:rPr>
          <w:color w:val="231F20"/>
        </w:rPr>
        <w:t>A second round of the Retail Food Study was initiated in</w:t>
      </w:r>
      <w:r w:rsidR="00900AC6" w:rsidRPr="001902C4">
        <w:rPr>
          <w:color w:val="231F20"/>
        </w:rPr>
        <w:t xml:space="preserve"> 2013</w:t>
      </w:r>
      <w:r w:rsidR="00282DAC" w:rsidRPr="001902C4">
        <w:rPr>
          <w:color w:val="231F20"/>
        </w:rPr>
        <w:t>, to assess food protection manager certification and food safety management systems</w:t>
      </w:r>
      <w:r w:rsidR="00482A80" w:rsidRPr="001902C4">
        <w:rPr>
          <w:color w:val="231F20"/>
        </w:rPr>
        <w:t xml:space="preserve"> (FSMS). In restaurants, having a well-developed and documented FSMS</w:t>
      </w:r>
      <w:r w:rsidR="00282DAC" w:rsidRPr="001902C4">
        <w:rPr>
          <w:color w:val="231F20"/>
        </w:rPr>
        <w:t xml:space="preserve"> </w:t>
      </w:r>
      <w:r w:rsidR="00482A80" w:rsidRPr="001902C4">
        <w:rPr>
          <w:color w:val="231F20"/>
        </w:rPr>
        <w:t xml:space="preserve">was associated with fewer food safety items out of compliance </w:t>
      </w:r>
      <w:r w:rsidR="00282DAC" w:rsidRPr="001902C4">
        <w:rPr>
          <w:color w:val="231F20"/>
        </w:rPr>
        <w:t>(FDA).</w:t>
      </w:r>
    </w:p>
    <w:p w14:paraId="00CA1F79" w14:textId="3E569527" w:rsidR="00900AC6" w:rsidRPr="0095641F" w:rsidRDefault="00900AC6" w:rsidP="0095641F">
      <w:pPr>
        <w:pStyle w:val="ListParagraph"/>
        <w:tabs>
          <w:tab w:val="left" w:pos="180"/>
        </w:tabs>
        <w:ind w:left="0"/>
        <w:rPr>
          <w:color w:val="231F20"/>
        </w:rPr>
      </w:pPr>
    </w:p>
    <w:p w14:paraId="01B7E9AC" w14:textId="46CD6E88" w:rsidR="00EE5EFA" w:rsidRPr="0095641F" w:rsidRDefault="002C104B" w:rsidP="0095641F">
      <w:pPr>
        <w:pStyle w:val="ListParagraph"/>
        <w:numPr>
          <w:ilvl w:val="0"/>
          <w:numId w:val="14"/>
        </w:numPr>
        <w:tabs>
          <w:tab w:val="left" w:pos="180"/>
        </w:tabs>
        <w:ind w:left="0" w:firstLine="0"/>
        <w:rPr>
          <w:color w:val="231F20"/>
        </w:rPr>
      </w:pPr>
      <w:r>
        <w:rPr>
          <w:color w:val="231F20"/>
        </w:rPr>
        <w:t xml:space="preserve">The Environmental Health Specialists Network (EHS-Net) of environmental health specialists and epidemiologists from state and local health departments, FDA, USDA-FSIS, USDA’s Food and Nutrition Service and CDC has developed the National Environmental Assessment Reporting System (NEARS) to </w:t>
      </w:r>
      <w:r>
        <w:rPr>
          <w:color w:val="231F20"/>
        </w:rPr>
        <w:lastRenderedPageBreak/>
        <w:t>systematically monitor and evaluate root causes of foodborne disease outbreaks, including contributing factors and environmental antecedents. This system links with NORS</w:t>
      </w:r>
      <w:r w:rsidR="00617DF0">
        <w:rPr>
          <w:color w:val="231F20"/>
        </w:rPr>
        <w:t xml:space="preserve"> and collects information from detailed environmental assessments on factors contributing to the occurrence of the outbreak and the underlying conditions that led to </w:t>
      </w:r>
      <w:r w:rsidR="004E03F3">
        <w:rPr>
          <w:color w:val="231F20"/>
        </w:rPr>
        <w:t>its</w:t>
      </w:r>
      <w:r w:rsidR="00617DF0">
        <w:rPr>
          <w:color w:val="231F20"/>
        </w:rPr>
        <w:t xml:space="preserve"> occurrence. </w:t>
      </w:r>
      <w:r>
        <w:rPr>
          <w:color w:val="231F20"/>
        </w:rPr>
        <w:t xml:space="preserve">The information collected through NEARS can inform hypothesis generation regarding antecedents to foodborne disease outbreaks and strengthen the ability of food-control authorities to formulate and evaluate the effectiveness of food-safety actions. </w:t>
      </w:r>
    </w:p>
    <w:p w14:paraId="2794DDA3" w14:textId="3752C830" w:rsidR="00EE5EFA" w:rsidRDefault="00D74099" w:rsidP="00EE5EFA">
      <w:r>
        <w:rPr>
          <w:b/>
        </w:rPr>
        <w:t>1</w:t>
      </w:r>
      <w:r w:rsidR="003F44AE" w:rsidRPr="0095641F">
        <w:rPr>
          <w:b/>
        </w:rPr>
        <w:t>.</w:t>
      </w:r>
      <w:r w:rsidR="00DA71B8">
        <w:rPr>
          <w:b/>
        </w:rPr>
        <w:t>3</w:t>
      </w:r>
      <w:r w:rsidR="003F44AE" w:rsidRPr="0095641F">
        <w:rPr>
          <w:b/>
        </w:rPr>
        <w:t>.</w:t>
      </w:r>
      <w:r w:rsidR="006A6D0E" w:rsidRPr="0095641F">
        <w:rPr>
          <w:b/>
        </w:rPr>
        <w:t>3</w:t>
      </w:r>
      <w:r w:rsidR="003F44AE" w:rsidRPr="0095641F">
        <w:rPr>
          <w:b/>
        </w:rPr>
        <w:t xml:space="preserve"> </w:t>
      </w:r>
      <w:r w:rsidR="00EE5EFA" w:rsidRPr="0095641F">
        <w:rPr>
          <w:b/>
        </w:rPr>
        <w:t>Testing of the food supply and associated environments is performed by local, state, and federal regulatory officials and the food industry.</w:t>
      </w:r>
      <w:r w:rsidR="00EE5EFA">
        <w:t xml:space="preserve"> Food testing is a tool used to validate that an establishment’s food safety system is functioning adequately to address hazards in food production and manufacturing and prevent foodborne illnesses. Food and environmental testing data, including </w:t>
      </w:r>
      <w:r w:rsidR="005A420B">
        <w:t>molecular</w:t>
      </w:r>
      <w:r w:rsidR="00313336">
        <w:t xml:space="preserve"> subtyping</w:t>
      </w:r>
      <w:r w:rsidR="00EE5EFA">
        <w:t xml:space="preserve"> data, can be used to inform hypothesis generation during outbreaks. Food testing data also can be used to estimate the fraction of selected foodborne illnesses that are caused by specific food sources, to assess changes in food contamination over time, and to assess the success of regulatory measures.</w:t>
      </w:r>
      <w:r w:rsidR="00DC7DE3">
        <w:t xml:space="preserve"> Foodborne pathogens of interest that are iso</w:t>
      </w:r>
      <w:r w:rsidR="004E03F3">
        <w:t>lated during various government</w:t>
      </w:r>
      <w:r w:rsidR="00DC7DE3">
        <w:t xml:space="preserve"> testing programs are being characterized by WGS and added to FDA’s </w:t>
      </w:r>
      <w:proofErr w:type="spellStart"/>
      <w:r w:rsidR="00DC7DE3">
        <w:t>GenomeTrakr</w:t>
      </w:r>
      <w:proofErr w:type="spellEnd"/>
      <w:r w:rsidR="00DC7DE3">
        <w:t xml:space="preserve"> Database for comparison with </w:t>
      </w:r>
      <w:proofErr w:type="spellStart"/>
      <w:r w:rsidR="00DC7DE3">
        <w:t>PulseNet</w:t>
      </w:r>
      <w:proofErr w:type="spellEnd"/>
      <w:r w:rsidR="00DC7DE3">
        <w:t xml:space="preserve"> surveillance.  No formal framework exists to link industrywide testing to public health surveillance </w:t>
      </w:r>
      <w:r w:rsidR="00A617F5">
        <w:t>data. Mechanisms that would provide access to aggregated, or blinded industry data to avoid regulatory penalties to individual companies have been discussed.</w:t>
      </w:r>
    </w:p>
    <w:p w14:paraId="5942D76D" w14:textId="766BFF0B" w:rsidR="00EE5EFA" w:rsidRDefault="00EE5EFA" w:rsidP="00356476">
      <w:pPr>
        <w:rPr>
          <w:b/>
        </w:rPr>
      </w:pPr>
      <w:r>
        <w:t>USDA-FSIS food laboratories maintain ISO 17025 accreditation, the international standard for laboratory quality systems. FDA is leading an effort to bring state manufactured food regulatory microbiological and chemical food-testing laboratories under ISO 17025 accreditation to enhance efforts to protect the food supply. Data generated by accredited laboratories will be made available for consideration during FDA enforcement actions as well as for surveillance purposes and during response to foodborne disease outbreaks through the Electronic Laboratory Exchange Network (</w:t>
      </w:r>
      <w:proofErr w:type="spellStart"/>
      <w:r>
        <w:t>eLEXNET</w:t>
      </w:r>
      <w:proofErr w:type="spellEnd"/>
      <w:r>
        <w:t>). Laboratory accreditation will also assist state manufactured food regulatory programs in achieving conformance with the Manufactured Food Regulatory Program Standards (MFRPS).</w:t>
      </w:r>
    </w:p>
    <w:p w14:paraId="6A484973" w14:textId="0B0B8ED0" w:rsidR="006F5088" w:rsidRPr="00272B4C" w:rsidRDefault="00FF577E">
      <w:pPr>
        <w:rPr>
          <w:b/>
          <w:sz w:val="28"/>
          <w:szCs w:val="28"/>
        </w:rPr>
      </w:pPr>
      <w:r>
        <w:rPr>
          <w:b/>
          <w:sz w:val="28"/>
          <w:szCs w:val="28"/>
        </w:rPr>
        <w:t>1</w:t>
      </w:r>
      <w:r w:rsidR="001F5F0E" w:rsidRPr="00272B4C">
        <w:rPr>
          <w:b/>
          <w:sz w:val="28"/>
          <w:szCs w:val="28"/>
        </w:rPr>
        <w:t>.4</w:t>
      </w:r>
      <w:r w:rsidR="001F5F0E" w:rsidRPr="00272B4C">
        <w:rPr>
          <w:b/>
          <w:sz w:val="28"/>
          <w:szCs w:val="28"/>
        </w:rPr>
        <w:tab/>
      </w:r>
      <w:r w:rsidR="00DA71B8" w:rsidRPr="00DA71B8">
        <w:rPr>
          <w:b/>
          <w:sz w:val="28"/>
          <w:szCs w:val="28"/>
        </w:rPr>
        <w:t>Foodborne Outbreak Response and System Change</w:t>
      </w:r>
      <w:r w:rsidR="00DA71B8" w:rsidRPr="00DA71B8" w:rsidDel="00DA71B8">
        <w:rPr>
          <w:b/>
          <w:sz w:val="28"/>
          <w:szCs w:val="28"/>
        </w:rPr>
        <w:t xml:space="preserve"> </w:t>
      </w:r>
    </w:p>
    <w:p w14:paraId="2456F780" w14:textId="2E6F5613" w:rsidR="00267805" w:rsidRDefault="00FF577E">
      <w:r w:rsidRPr="0095641F">
        <w:rPr>
          <w:b/>
        </w:rPr>
        <w:t>1</w:t>
      </w:r>
      <w:r w:rsidR="00585D0A" w:rsidRPr="0095641F">
        <w:rPr>
          <w:b/>
        </w:rPr>
        <w:t>.4.1</w:t>
      </w:r>
      <w:r w:rsidRPr="0095641F">
        <w:rPr>
          <w:b/>
        </w:rPr>
        <w:t xml:space="preserve"> </w:t>
      </w:r>
      <w:r w:rsidR="00D31D96">
        <w:rPr>
          <w:b/>
        </w:rPr>
        <w:t xml:space="preserve">Although foodborne illness surveillance and response is rooted in individual states’ laws, the growing demands of multi-state outbreaks associated with widely distributed foods requires increasing standardization of methods, integration of activities, and </w:t>
      </w:r>
      <w:r w:rsidR="00973709">
        <w:rPr>
          <w:b/>
        </w:rPr>
        <w:t>federal support and oversight of the system.</w:t>
      </w:r>
      <w:r w:rsidR="00D31D96">
        <w:rPr>
          <w:b/>
        </w:rPr>
        <w:t xml:space="preserve"> </w:t>
      </w:r>
      <w:r w:rsidR="00973709">
        <w:t xml:space="preserve">In response to the emergence of </w:t>
      </w:r>
      <w:r w:rsidR="00973709" w:rsidRPr="0095641F">
        <w:rPr>
          <w:i/>
        </w:rPr>
        <w:t>E. coli</w:t>
      </w:r>
      <w:r w:rsidR="00973709">
        <w:t xml:space="preserve"> O157:H7 and other foodborne pathogens in the 1990’s, CDC developed the active surveillance network </w:t>
      </w:r>
      <w:proofErr w:type="spellStart"/>
      <w:r w:rsidR="00973709">
        <w:t>FoodNET</w:t>
      </w:r>
      <w:proofErr w:type="spellEnd"/>
      <w:r w:rsidR="00973709">
        <w:t xml:space="preserve">, to conduct comprehensive surveillance of diagnosed illnesses within defined populations to assess and monitor trends in the burden of illness associated with specific agents.  Simultaneously, the national molecular subtyping network </w:t>
      </w:r>
      <w:proofErr w:type="spellStart"/>
      <w:r w:rsidR="00973709">
        <w:t>PulseNET</w:t>
      </w:r>
      <w:proofErr w:type="spellEnd"/>
      <w:r w:rsidR="00973709">
        <w:t>, was es</w:t>
      </w:r>
      <w:r w:rsidR="004E03F3">
        <w:t>tablished to improve laboratory-</w:t>
      </w:r>
      <w:r w:rsidR="00973709">
        <w:t xml:space="preserve">based surveillance for bacterial pathogens </w:t>
      </w:r>
      <w:r w:rsidR="00267805">
        <w:t xml:space="preserve">routinely detected by clinical laboratories.  </w:t>
      </w:r>
      <w:proofErr w:type="spellStart"/>
      <w:r w:rsidR="00267805">
        <w:t>PulseNet</w:t>
      </w:r>
      <w:proofErr w:type="spellEnd"/>
      <w:r w:rsidR="00267805">
        <w:t xml:space="preserve"> increased detection of multistate outbreaks, and </w:t>
      </w:r>
      <w:proofErr w:type="spellStart"/>
      <w:r w:rsidR="00267805">
        <w:t>FoodNet</w:t>
      </w:r>
      <w:proofErr w:type="spellEnd"/>
      <w:r w:rsidR="00267805">
        <w:t xml:space="preserve"> provided a framework to interpret the impact of food system changes in response to improved outbreak detection and regulatory activity.</w:t>
      </w:r>
    </w:p>
    <w:p w14:paraId="045B229E" w14:textId="20972D06" w:rsidR="000F17B5" w:rsidRDefault="00267805">
      <w:r>
        <w:lastRenderedPageBreak/>
        <w:t>In 2005, the Council to Improve Foodborne Outbreak Response (CIFOR) was established to develop a set of Guidelines for Outbreak Response. These Guidelines established model practices for foodborne disease surveillance at local and state levels, with specific reference to coordination of multi-</w:t>
      </w:r>
      <w:proofErr w:type="spellStart"/>
      <w:r>
        <w:t>jur</w:t>
      </w:r>
      <w:r w:rsidR="000F17B5">
        <w:t>i</w:t>
      </w:r>
      <w:r>
        <w:t>s</w:t>
      </w:r>
      <w:r w:rsidR="000F17B5">
        <w:t>idictional</w:t>
      </w:r>
      <w:proofErr w:type="spellEnd"/>
      <w:r w:rsidR="000F17B5">
        <w:t xml:space="preserve"> outbreaks and the development of performance indicators to measure to effectiveness of surveillance activities. This represents the Third Edition of CIFOR’s Guidelines.</w:t>
      </w:r>
    </w:p>
    <w:p w14:paraId="62A7084F" w14:textId="7FB796D7" w:rsidR="000F17B5" w:rsidRDefault="000F17B5">
      <w:r>
        <w:t xml:space="preserve">Also during this time, CDC began providing dedicated funding to support foodborne outbreak response at the state level through Epidemiology and Laboratory Capacity grants.  This led to the development of </w:t>
      </w:r>
      <w:proofErr w:type="spellStart"/>
      <w:r>
        <w:t>OutbreakNet</w:t>
      </w:r>
      <w:proofErr w:type="spellEnd"/>
      <w:r>
        <w:t xml:space="preserve">, CDC’s </w:t>
      </w:r>
      <w:r w:rsidRPr="000F17B5">
        <w:t>Foodborne Diseases Centers for Outbreak Response Enhancement (</w:t>
      </w:r>
      <w:proofErr w:type="spellStart"/>
      <w:r w:rsidRPr="000F17B5">
        <w:t>FoodCORE</w:t>
      </w:r>
      <w:proofErr w:type="spellEnd"/>
      <w:r w:rsidRPr="000F17B5">
        <w:t>)</w:t>
      </w:r>
      <w:r>
        <w:t xml:space="preserve">, the Integrated Food Safety Centers of Excellence and </w:t>
      </w:r>
      <w:proofErr w:type="spellStart"/>
      <w:r w:rsidR="00B248C0">
        <w:t>OutbreakNet</w:t>
      </w:r>
      <w:proofErr w:type="spellEnd"/>
      <w:r w:rsidR="00B248C0">
        <w:t xml:space="preserve"> Enhanced.  These programs are intended to work together to enhance the development and evaluation of foodborne illness surveillance and outbreak response activities across the U.S. </w:t>
      </w:r>
    </w:p>
    <w:p w14:paraId="2C9E0437" w14:textId="2847C000" w:rsidR="00973709" w:rsidRDefault="00B248C0">
      <w:r>
        <w:t xml:space="preserve">In conjunction with CDC’s investments in the performance of public health agencies, FDA has developed a network of Rapid Response Teams (RRT) to enhance coordination between public health and food regulatory agencies at the state level and formed a </w:t>
      </w:r>
      <w:r w:rsidRPr="00B248C0">
        <w:t>Coordinated Outbreak Response and Evaluation (CORE) Network</w:t>
      </w:r>
      <w:r>
        <w:t xml:space="preserve"> to centralize coordination of outbreak response activities within FDA. FSIS has developed parallel outbreak response capacity (see Chapter 3).</w:t>
      </w:r>
    </w:p>
    <w:p w14:paraId="6D074957" w14:textId="2D72A6A4" w:rsidR="00B248C0" w:rsidRDefault="007B319B">
      <w:r>
        <w:t xml:space="preserve">Coordination of activities on the federal level is accomplished through mutual liaisons between agencies, and joint participation in the Intergovernmental Food Safety Analytics Collaboration (IFSAC) which seeks to improve the use of outbreak surveillance </w:t>
      </w:r>
      <w:r w:rsidR="001902C4">
        <w:t>in</w:t>
      </w:r>
      <w:r>
        <w:t xml:space="preserve"> foodb</w:t>
      </w:r>
      <w:r w:rsidR="004E03F3">
        <w:t>orne illness attribution models and thus</w:t>
      </w:r>
      <w:r>
        <w:t xml:space="preserve"> better guide food </w:t>
      </w:r>
      <w:r w:rsidR="004E03F3">
        <w:t xml:space="preserve">safety </w:t>
      </w:r>
      <w:r>
        <w:t>regulation.</w:t>
      </w:r>
      <w:bookmarkStart w:id="1" w:name="_GoBack"/>
      <w:bookmarkEnd w:id="1"/>
    </w:p>
    <w:p w14:paraId="202A97E2" w14:textId="049EEC38" w:rsidR="007B319B" w:rsidRDefault="007B319B">
      <w:r>
        <w:t>Although federal grant support can help direct activities at the state and local level, additional federal authority may be needed to ensure efficient investigation of multistate outbreaks.</w:t>
      </w:r>
    </w:p>
    <w:p w14:paraId="00FAAF1B" w14:textId="639D75B9" w:rsidR="006F5088" w:rsidRDefault="00FF577E">
      <w:r w:rsidRPr="0095641F">
        <w:rPr>
          <w:b/>
        </w:rPr>
        <w:t>1</w:t>
      </w:r>
      <w:r w:rsidR="00585D0A" w:rsidRPr="0095641F">
        <w:rPr>
          <w:b/>
        </w:rPr>
        <w:t xml:space="preserve">.4.2 </w:t>
      </w:r>
      <w:r w:rsidR="00B03044" w:rsidRPr="0095641F">
        <w:rPr>
          <w:b/>
        </w:rPr>
        <w:t xml:space="preserve">The </w:t>
      </w:r>
      <w:r w:rsidR="003E63C9">
        <w:rPr>
          <w:b/>
        </w:rPr>
        <w:t xml:space="preserve">complex </w:t>
      </w:r>
      <w:r w:rsidR="00AB4146" w:rsidRPr="0095641F">
        <w:rPr>
          <w:b/>
        </w:rPr>
        <w:t xml:space="preserve">U.S. </w:t>
      </w:r>
      <w:r w:rsidR="00B03044" w:rsidRPr="0095641F">
        <w:rPr>
          <w:b/>
        </w:rPr>
        <w:t xml:space="preserve">foodborne outbreak response </w:t>
      </w:r>
      <w:r w:rsidR="00AB4146" w:rsidRPr="0095641F">
        <w:rPr>
          <w:b/>
        </w:rPr>
        <w:t xml:space="preserve">system </w:t>
      </w:r>
      <w:r w:rsidR="003E63C9">
        <w:rPr>
          <w:b/>
        </w:rPr>
        <w:t xml:space="preserve">changes with legislative and regulatory initiatives </w:t>
      </w:r>
      <w:r w:rsidR="00AB4146" w:rsidRPr="0095641F">
        <w:rPr>
          <w:b/>
        </w:rPr>
        <w:t>involving multiple agencies at local, state, and federal levels of government</w:t>
      </w:r>
      <w:r w:rsidR="00BD5A72" w:rsidRPr="0095641F">
        <w:rPr>
          <w:b/>
        </w:rPr>
        <w:t>, the legal constraints and obligations under which they operate, and the</w:t>
      </w:r>
      <w:r w:rsidR="003E63C9">
        <w:rPr>
          <w:b/>
        </w:rPr>
        <w:t>ir</w:t>
      </w:r>
      <w:r w:rsidR="00BD5A72" w:rsidRPr="0095641F">
        <w:rPr>
          <w:b/>
        </w:rPr>
        <w:t xml:space="preserve"> </w:t>
      </w:r>
      <w:r w:rsidR="003E63C9">
        <w:rPr>
          <w:b/>
        </w:rPr>
        <w:t>effects on</w:t>
      </w:r>
      <w:r w:rsidR="00184FE6" w:rsidRPr="0095641F">
        <w:rPr>
          <w:b/>
        </w:rPr>
        <w:t xml:space="preserve"> private partners</w:t>
      </w:r>
      <w:r w:rsidR="00AB4146" w:rsidRPr="0095641F">
        <w:rPr>
          <w:b/>
        </w:rPr>
        <w:t>.</w:t>
      </w:r>
      <w:r w:rsidR="00AB4146">
        <w:t xml:space="preserve"> </w:t>
      </w:r>
      <w:r w:rsidR="003E63C9">
        <w:t>For example, t</w:t>
      </w:r>
      <w:r w:rsidR="00A0189C">
        <w:t xml:space="preserve">he Food Safety Modernization Act (FSMA), passed by Congress in 2011, </w:t>
      </w:r>
      <w:r w:rsidR="00602A6C">
        <w:t xml:space="preserve">was the first </w:t>
      </w:r>
      <w:r w:rsidR="00A0189C">
        <w:t xml:space="preserve">major reform of the Food and Drug Administration’s food safety authority since </w:t>
      </w:r>
      <w:r w:rsidR="00602A6C">
        <w:t xml:space="preserve">the 1938 enactment of the Food, Drug, and Cosmetic Act. Since the last edition of the CIFOR guidelines, the </w:t>
      </w:r>
      <w:r w:rsidR="00E46D67">
        <w:t>provisions of FSMA have been rolled out in 7 federal regulations</w:t>
      </w:r>
      <w:r w:rsidR="00A53A57">
        <w:t xml:space="preserve">, with </w:t>
      </w:r>
      <w:r w:rsidR="000324DC">
        <w:t xml:space="preserve">final rule </w:t>
      </w:r>
      <w:r w:rsidR="00A53A57">
        <w:t>publication dates as follows</w:t>
      </w:r>
      <w:r w:rsidR="00E46D67">
        <w:t>:</w:t>
      </w:r>
    </w:p>
    <w:p w14:paraId="2C1C4D0A" w14:textId="77777777" w:rsidR="0072643E" w:rsidRDefault="0072643E" w:rsidP="0072643E">
      <w:pPr>
        <w:pStyle w:val="ListParagraph"/>
        <w:numPr>
          <w:ilvl w:val="0"/>
          <w:numId w:val="12"/>
        </w:numPr>
      </w:pPr>
      <w:r>
        <w:t>Preventive Controls for Food for Animals (17 Sep 2015)</w:t>
      </w:r>
    </w:p>
    <w:p w14:paraId="54C4553F" w14:textId="77777777" w:rsidR="0072643E" w:rsidRDefault="0072643E" w:rsidP="0072643E">
      <w:pPr>
        <w:pStyle w:val="ListParagraph"/>
        <w:numPr>
          <w:ilvl w:val="0"/>
          <w:numId w:val="12"/>
        </w:numPr>
      </w:pPr>
      <w:r>
        <w:t>Preventive Controls for Human Food (17 Sep 2015)</w:t>
      </w:r>
    </w:p>
    <w:p w14:paraId="0B072459" w14:textId="77777777" w:rsidR="0072643E" w:rsidRDefault="0072643E" w:rsidP="0072643E">
      <w:pPr>
        <w:pStyle w:val="ListParagraph"/>
        <w:numPr>
          <w:ilvl w:val="0"/>
          <w:numId w:val="12"/>
        </w:numPr>
      </w:pPr>
      <w:r>
        <w:t>Standards for Produce Safety (27 Nov 2015)</w:t>
      </w:r>
    </w:p>
    <w:p w14:paraId="2C0A2D05" w14:textId="77777777" w:rsidR="00E46D67" w:rsidRDefault="00E46D67" w:rsidP="0072643E">
      <w:pPr>
        <w:pStyle w:val="ListParagraph"/>
        <w:numPr>
          <w:ilvl w:val="0"/>
          <w:numId w:val="12"/>
        </w:numPr>
      </w:pPr>
      <w:r>
        <w:t>Foreign Supplier Verification Programs for Importers of Food for Humans and Animals</w:t>
      </w:r>
      <w:r w:rsidR="000324DC">
        <w:t xml:space="preserve"> (27 Nov 2015)</w:t>
      </w:r>
    </w:p>
    <w:p w14:paraId="1D6DE59F" w14:textId="77777777" w:rsidR="0072643E" w:rsidRDefault="0072643E" w:rsidP="0072643E">
      <w:pPr>
        <w:pStyle w:val="ListParagraph"/>
        <w:numPr>
          <w:ilvl w:val="0"/>
          <w:numId w:val="12"/>
        </w:numPr>
      </w:pPr>
      <w:r>
        <w:t>Accredited Third-Party Certification Rule (27 Nov 2015)</w:t>
      </w:r>
    </w:p>
    <w:p w14:paraId="1C0EBF35" w14:textId="77777777" w:rsidR="0072643E" w:rsidRDefault="0072643E" w:rsidP="0072643E">
      <w:pPr>
        <w:pStyle w:val="ListParagraph"/>
        <w:numPr>
          <w:ilvl w:val="0"/>
          <w:numId w:val="12"/>
        </w:numPr>
      </w:pPr>
      <w:r>
        <w:t>Sanitary Transportation of Human and Animal Food (6 Apr 2016)</w:t>
      </w:r>
    </w:p>
    <w:p w14:paraId="7CCA21CD" w14:textId="77777777" w:rsidR="00E46D67" w:rsidRDefault="00E46D67" w:rsidP="0072643E">
      <w:pPr>
        <w:pStyle w:val="ListParagraph"/>
        <w:numPr>
          <w:ilvl w:val="0"/>
          <w:numId w:val="12"/>
        </w:numPr>
      </w:pPr>
      <w:r>
        <w:t>Mitigation Strategies to Protect Food against Intentional Adulteration</w:t>
      </w:r>
      <w:r w:rsidR="000324DC">
        <w:t xml:space="preserve"> (27 May 2016)</w:t>
      </w:r>
    </w:p>
    <w:p w14:paraId="3B0D40A2" w14:textId="7F98FA4C" w:rsidR="006F5088" w:rsidRDefault="00E46D67">
      <w:pPr>
        <w:rPr>
          <w:b/>
          <w:sz w:val="28"/>
          <w:szCs w:val="28"/>
        </w:rPr>
      </w:pPr>
      <w:r>
        <w:t xml:space="preserve">FSMA and its associated regulations grant FDA substantial new authority to protect food all along the </w:t>
      </w:r>
      <w:r w:rsidR="00A53A57">
        <w:t xml:space="preserve">farm-to-fork line, covering preventive controls, inspections, laboratory testing, product tracing, </w:t>
      </w:r>
      <w:r w:rsidR="00A53A57">
        <w:lastRenderedPageBreak/>
        <w:t>mandatory recall authority, importer accountability, authority to deny entry to the U.S. market, state and local capacity building, and other areas.</w:t>
      </w:r>
    </w:p>
    <w:p w14:paraId="0675536F" w14:textId="2AC726FA" w:rsidR="006F5088" w:rsidRPr="00307815" w:rsidRDefault="003E63C9">
      <w:r>
        <w:t>In summary, t</w:t>
      </w:r>
      <w:r w:rsidR="0072643E">
        <w:t>he foods we eat and the processes by which they are produced, distributed, and prepared; the means for diagnosing illness and detecting outbreaks; the methods whereby outbreaks are investigated; and the response of governmental and private partners are always changing. Th</w:t>
      </w:r>
      <w:r w:rsidR="00D57B53">
        <w:t xml:space="preserve">e ensuing chapters provide updated guidance to responders with these changes in mind. </w:t>
      </w:r>
    </w:p>
    <w:p w14:paraId="6021F32A" w14:textId="2E369E76" w:rsidR="006F5088" w:rsidRDefault="006F5088"/>
    <w:sectPr w:rsidR="006F5088">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560" w:header="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A99E9" w14:textId="77777777" w:rsidR="00D476D6" w:rsidRDefault="00D476D6">
      <w:pPr>
        <w:spacing w:after="0" w:line="240" w:lineRule="auto"/>
      </w:pPr>
      <w:r>
        <w:separator/>
      </w:r>
    </w:p>
  </w:endnote>
  <w:endnote w:type="continuationSeparator" w:id="0">
    <w:p w14:paraId="68BF6FF7" w14:textId="77777777" w:rsidR="00D476D6" w:rsidRDefault="00D47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9765B" w14:textId="77777777" w:rsidR="005162BF" w:rsidRDefault="005162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31D45" w14:textId="77777777" w:rsidR="00267805" w:rsidRDefault="00267805">
    <w:pPr>
      <w:tabs>
        <w:tab w:val="center" w:pos="4680"/>
        <w:tab w:val="right" w:pos="9360"/>
      </w:tabs>
      <w:spacing w:after="720" w:line="240"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899A6" w14:textId="77777777" w:rsidR="005162BF" w:rsidRDefault="005162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3901C" w14:textId="77777777" w:rsidR="00D476D6" w:rsidRDefault="00D476D6">
      <w:pPr>
        <w:spacing w:after="0" w:line="240" w:lineRule="auto"/>
      </w:pPr>
      <w:r>
        <w:separator/>
      </w:r>
    </w:p>
  </w:footnote>
  <w:footnote w:type="continuationSeparator" w:id="0">
    <w:p w14:paraId="3E15DD40" w14:textId="77777777" w:rsidR="00D476D6" w:rsidRDefault="00D476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61B9D" w14:textId="77777777" w:rsidR="005162BF" w:rsidRDefault="005162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6638339"/>
      <w:docPartObj>
        <w:docPartGallery w:val="Watermarks"/>
        <w:docPartUnique/>
      </w:docPartObj>
    </w:sdtPr>
    <w:sdtEndPr/>
    <w:sdtContent>
      <w:p w14:paraId="02238498" w14:textId="2C725278" w:rsidR="005162BF" w:rsidRDefault="0059564F">
        <w:pPr>
          <w:pStyle w:val="Header"/>
        </w:pPr>
        <w:r>
          <w:rPr>
            <w:noProof/>
          </w:rPr>
          <w:pict w14:anchorId="6F1831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6880C" w14:textId="4340449A" w:rsidR="005162BF" w:rsidRDefault="00516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10BA0"/>
    <w:multiLevelType w:val="multilevel"/>
    <w:tmpl w:val="45EE12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547C26"/>
    <w:multiLevelType w:val="multilevel"/>
    <w:tmpl w:val="40822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8D5688A"/>
    <w:multiLevelType w:val="multilevel"/>
    <w:tmpl w:val="866C86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BC21DF9"/>
    <w:multiLevelType w:val="multilevel"/>
    <w:tmpl w:val="0C4E53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0756A68"/>
    <w:multiLevelType w:val="hybridMultilevel"/>
    <w:tmpl w:val="F148F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37A32"/>
    <w:multiLevelType w:val="hybridMultilevel"/>
    <w:tmpl w:val="89DA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100FC"/>
    <w:multiLevelType w:val="multilevel"/>
    <w:tmpl w:val="CCAA4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8E841C4"/>
    <w:multiLevelType w:val="multilevel"/>
    <w:tmpl w:val="6F3E3C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2C21FA9"/>
    <w:multiLevelType w:val="hybridMultilevel"/>
    <w:tmpl w:val="29CC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1D0324"/>
    <w:multiLevelType w:val="hybridMultilevel"/>
    <w:tmpl w:val="690C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622371"/>
    <w:multiLevelType w:val="multilevel"/>
    <w:tmpl w:val="9CA4D5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9397367"/>
    <w:multiLevelType w:val="hybridMultilevel"/>
    <w:tmpl w:val="111CB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4233ED"/>
    <w:multiLevelType w:val="multilevel"/>
    <w:tmpl w:val="AA16AF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79309EA"/>
    <w:multiLevelType w:val="multilevel"/>
    <w:tmpl w:val="EE0AB7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F9728D5"/>
    <w:multiLevelType w:val="multilevel"/>
    <w:tmpl w:val="4600B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14"/>
  </w:num>
  <w:num w:numId="3">
    <w:abstractNumId w:val="7"/>
  </w:num>
  <w:num w:numId="4">
    <w:abstractNumId w:val="0"/>
  </w:num>
  <w:num w:numId="5">
    <w:abstractNumId w:val="3"/>
  </w:num>
  <w:num w:numId="6">
    <w:abstractNumId w:val="10"/>
  </w:num>
  <w:num w:numId="7">
    <w:abstractNumId w:val="2"/>
  </w:num>
  <w:num w:numId="8">
    <w:abstractNumId w:val="12"/>
  </w:num>
  <w:num w:numId="9">
    <w:abstractNumId w:val="1"/>
  </w:num>
  <w:num w:numId="10">
    <w:abstractNumId w:val="13"/>
  </w:num>
  <w:num w:numId="11">
    <w:abstractNumId w:val="4"/>
  </w:num>
  <w:num w:numId="12">
    <w:abstractNumId w:val="11"/>
  </w:num>
  <w:num w:numId="13">
    <w:abstractNumId w:val="9"/>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ES" w:vendorID="64" w:dllVersion="6" w:nlCheck="1" w:checkStyle="0"/>
  <w:activeWritingStyle w:appName="MSWord" w:lang="en-US" w:vendorID="64" w:dllVersion="6" w:nlCheck="1" w:checkStyle="0"/>
  <w:activeWritingStyle w:appName="MSWord" w:lang="en-US" w:vendorID="64" w:dllVersion="0" w:nlCheck="1" w:checkStyle="0"/>
  <w:activeWritingStyle w:appName="MSWord" w:lang="es-ES" w:vendorID="64" w:dllVersion="0"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088"/>
    <w:rsid w:val="00003736"/>
    <w:rsid w:val="000049A3"/>
    <w:rsid w:val="00006B9D"/>
    <w:rsid w:val="0001439C"/>
    <w:rsid w:val="0002353A"/>
    <w:rsid w:val="0002470B"/>
    <w:rsid w:val="000324DC"/>
    <w:rsid w:val="00035BD8"/>
    <w:rsid w:val="00044565"/>
    <w:rsid w:val="000513E5"/>
    <w:rsid w:val="00070466"/>
    <w:rsid w:val="00070558"/>
    <w:rsid w:val="000827C8"/>
    <w:rsid w:val="00083D3A"/>
    <w:rsid w:val="00085073"/>
    <w:rsid w:val="000859FA"/>
    <w:rsid w:val="0009307C"/>
    <w:rsid w:val="000A24B4"/>
    <w:rsid w:val="000B38A4"/>
    <w:rsid w:val="000B6C75"/>
    <w:rsid w:val="000B77BD"/>
    <w:rsid w:val="000C1564"/>
    <w:rsid w:val="000C30A9"/>
    <w:rsid w:val="000D550E"/>
    <w:rsid w:val="000F1016"/>
    <w:rsid w:val="000F17B5"/>
    <w:rsid w:val="000F2112"/>
    <w:rsid w:val="00102077"/>
    <w:rsid w:val="00105E8B"/>
    <w:rsid w:val="00112AFE"/>
    <w:rsid w:val="001201A2"/>
    <w:rsid w:val="00122ABA"/>
    <w:rsid w:val="00125C97"/>
    <w:rsid w:val="00137D03"/>
    <w:rsid w:val="0014061E"/>
    <w:rsid w:val="00154833"/>
    <w:rsid w:val="00184FE6"/>
    <w:rsid w:val="00186D5C"/>
    <w:rsid w:val="001902C4"/>
    <w:rsid w:val="001966F0"/>
    <w:rsid w:val="001B7D62"/>
    <w:rsid w:val="001E485D"/>
    <w:rsid w:val="001E5C00"/>
    <w:rsid w:val="001F39C3"/>
    <w:rsid w:val="001F490A"/>
    <w:rsid w:val="001F5F0E"/>
    <w:rsid w:val="00222C08"/>
    <w:rsid w:val="00242E81"/>
    <w:rsid w:val="00244557"/>
    <w:rsid w:val="00264C2A"/>
    <w:rsid w:val="00267805"/>
    <w:rsid w:val="002703BB"/>
    <w:rsid w:val="00272B4C"/>
    <w:rsid w:val="00276EB8"/>
    <w:rsid w:val="0028044C"/>
    <w:rsid w:val="00282DAC"/>
    <w:rsid w:val="00285C46"/>
    <w:rsid w:val="002909C1"/>
    <w:rsid w:val="002958A5"/>
    <w:rsid w:val="00297DF6"/>
    <w:rsid w:val="002A0AB8"/>
    <w:rsid w:val="002A3068"/>
    <w:rsid w:val="002B2D80"/>
    <w:rsid w:val="002C104B"/>
    <w:rsid w:val="002C7851"/>
    <w:rsid w:val="002D1B26"/>
    <w:rsid w:val="002D3E42"/>
    <w:rsid w:val="002D5B39"/>
    <w:rsid w:val="002D6622"/>
    <w:rsid w:val="00307815"/>
    <w:rsid w:val="00310548"/>
    <w:rsid w:val="00313336"/>
    <w:rsid w:val="00335BFE"/>
    <w:rsid w:val="00345FF9"/>
    <w:rsid w:val="00355F39"/>
    <w:rsid w:val="00356476"/>
    <w:rsid w:val="003614E6"/>
    <w:rsid w:val="00377C1D"/>
    <w:rsid w:val="00390FCF"/>
    <w:rsid w:val="003911DE"/>
    <w:rsid w:val="0039469D"/>
    <w:rsid w:val="00394EAC"/>
    <w:rsid w:val="003B33AB"/>
    <w:rsid w:val="003B41D6"/>
    <w:rsid w:val="003B772A"/>
    <w:rsid w:val="003C76DF"/>
    <w:rsid w:val="003D5D3C"/>
    <w:rsid w:val="003E00F0"/>
    <w:rsid w:val="003E5A7D"/>
    <w:rsid w:val="003E63C9"/>
    <w:rsid w:val="003F44AE"/>
    <w:rsid w:val="004043DF"/>
    <w:rsid w:val="00413C5B"/>
    <w:rsid w:val="00425152"/>
    <w:rsid w:val="00430FEC"/>
    <w:rsid w:val="0043173D"/>
    <w:rsid w:val="004404B8"/>
    <w:rsid w:val="004406A7"/>
    <w:rsid w:val="004427A8"/>
    <w:rsid w:val="004677C9"/>
    <w:rsid w:val="00471EE3"/>
    <w:rsid w:val="004734DE"/>
    <w:rsid w:val="00474FDA"/>
    <w:rsid w:val="00482A80"/>
    <w:rsid w:val="00486564"/>
    <w:rsid w:val="00493BDE"/>
    <w:rsid w:val="00495C4D"/>
    <w:rsid w:val="004A152D"/>
    <w:rsid w:val="004A348C"/>
    <w:rsid w:val="004A3AD4"/>
    <w:rsid w:val="004B00A6"/>
    <w:rsid w:val="004B7D56"/>
    <w:rsid w:val="004C51D4"/>
    <w:rsid w:val="004C767F"/>
    <w:rsid w:val="004D036B"/>
    <w:rsid w:val="004E03F3"/>
    <w:rsid w:val="004E792E"/>
    <w:rsid w:val="004F641D"/>
    <w:rsid w:val="00501E4D"/>
    <w:rsid w:val="0050341C"/>
    <w:rsid w:val="005162BF"/>
    <w:rsid w:val="00533656"/>
    <w:rsid w:val="00540CE4"/>
    <w:rsid w:val="005476E0"/>
    <w:rsid w:val="00554598"/>
    <w:rsid w:val="00560B43"/>
    <w:rsid w:val="00566DB9"/>
    <w:rsid w:val="00567057"/>
    <w:rsid w:val="00580B1C"/>
    <w:rsid w:val="00585D0A"/>
    <w:rsid w:val="00593269"/>
    <w:rsid w:val="0059564F"/>
    <w:rsid w:val="005A2BE9"/>
    <w:rsid w:val="005A420B"/>
    <w:rsid w:val="005A45C2"/>
    <w:rsid w:val="005B1A46"/>
    <w:rsid w:val="005C3916"/>
    <w:rsid w:val="005C3984"/>
    <w:rsid w:val="005C6428"/>
    <w:rsid w:val="005E12CB"/>
    <w:rsid w:val="005E2616"/>
    <w:rsid w:val="005E494E"/>
    <w:rsid w:val="00600186"/>
    <w:rsid w:val="00602A6C"/>
    <w:rsid w:val="00617DF0"/>
    <w:rsid w:val="00635F16"/>
    <w:rsid w:val="00654517"/>
    <w:rsid w:val="0065567D"/>
    <w:rsid w:val="006602C6"/>
    <w:rsid w:val="00675939"/>
    <w:rsid w:val="00683E3C"/>
    <w:rsid w:val="00696608"/>
    <w:rsid w:val="00697389"/>
    <w:rsid w:val="006A1630"/>
    <w:rsid w:val="006A4A2C"/>
    <w:rsid w:val="006A6732"/>
    <w:rsid w:val="006A6D0E"/>
    <w:rsid w:val="006C11B8"/>
    <w:rsid w:val="006C2113"/>
    <w:rsid w:val="006C5689"/>
    <w:rsid w:val="006D3321"/>
    <w:rsid w:val="006E2894"/>
    <w:rsid w:val="006F3B2F"/>
    <w:rsid w:val="006F5088"/>
    <w:rsid w:val="00711934"/>
    <w:rsid w:val="00714830"/>
    <w:rsid w:val="00714A33"/>
    <w:rsid w:val="0072643E"/>
    <w:rsid w:val="00751F2D"/>
    <w:rsid w:val="007540D1"/>
    <w:rsid w:val="0076094E"/>
    <w:rsid w:val="00764D04"/>
    <w:rsid w:val="0076710D"/>
    <w:rsid w:val="007733CB"/>
    <w:rsid w:val="00784D2A"/>
    <w:rsid w:val="007900E8"/>
    <w:rsid w:val="007A2910"/>
    <w:rsid w:val="007B319B"/>
    <w:rsid w:val="007C6825"/>
    <w:rsid w:val="007D1727"/>
    <w:rsid w:val="007D7A30"/>
    <w:rsid w:val="007E3722"/>
    <w:rsid w:val="007E48BD"/>
    <w:rsid w:val="007E71C1"/>
    <w:rsid w:val="007F2215"/>
    <w:rsid w:val="007F22B3"/>
    <w:rsid w:val="008162AE"/>
    <w:rsid w:val="00816B71"/>
    <w:rsid w:val="00826919"/>
    <w:rsid w:val="00827FAE"/>
    <w:rsid w:val="00831B5F"/>
    <w:rsid w:val="008326ED"/>
    <w:rsid w:val="008553D4"/>
    <w:rsid w:val="0088191E"/>
    <w:rsid w:val="008826C0"/>
    <w:rsid w:val="0088374F"/>
    <w:rsid w:val="008870DC"/>
    <w:rsid w:val="008B691F"/>
    <w:rsid w:val="008C0BCE"/>
    <w:rsid w:val="008C3B3D"/>
    <w:rsid w:val="008C7ABE"/>
    <w:rsid w:val="008D0E74"/>
    <w:rsid w:val="008D59B4"/>
    <w:rsid w:val="008F0FB6"/>
    <w:rsid w:val="008F117A"/>
    <w:rsid w:val="008F2188"/>
    <w:rsid w:val="009006DE"/>
    <w:rsid w:val="00900AC6"/>
    <w:rsid w:val="0090426A"/>
    <w:rsid w:val="00911164"/>
    <w:rsid w:val="009112E3"/>
    <w:rsid w:val="00916FE4"/>
    <w:rsid w:val="00923BD1"/>
    <w:rsid w:val="009257EC"/>
    <w:rsid w:val="00930464"/>
    <w:rsid w:val="009330F0"/>
    <w:rsid w:val="009331E3"/>
    <w:rsid w:val="00941238"/>
    <w:rsid w:val="00944B39"/>
    <w:rsid w:val="0095641F"/>
    <w:rsid w:val="00960A34"/>
    <w:rsid w:val="00961316"/>
    <w:rsid w:val="0096342B"/>
    <w:rsid w:val="00973709"/>
    <w:rsid w:val="00983969"/>
    <w:rsid w:val="009B37E6"/>
    <w:rsid w:val="009B4E7E"/>
    <w:rsid w:val="009B6F5A"/>
    <w:rsid w:val="009C57D5"/>
    <w:rsid w:val="009C669E"/>
    <w:rsid w:val="009C7405"/>
    <w:rsid w:val="009F197D"/>
    <w:rsid w:val="009F37DB"/>
    <w:rsid w:val="00A0189C"/>
    <w:rsid w:val="00A05A87"/>
    <w:rsid w:val="00A1239C"/>
    <w:rsid w:val="00A20331"/>
    <w:rsid w:val="00A30013"/>
    <w:rsid w:val="00A32E05"/>
    <w:rsid w:val="00A438EA"/>
    <w:rsid w:val="00A4627B"/>
    <w:rsid w:val="00A4796E"/>
    <w:rsid w:val="00A5079B"/>
    <w:rsid w:val="00A53A57"/>
    <w:rsid w:val="00A53BC5"/>
    <w:rsid w:val="00A5484D"/>
    <w:rsid w:val="00A56FCB"/>
    <w:rsid w:val="00A617F5"/>
    <w:rsid w:val="00A639A1"/>
    <w:rsid w:val="00A63A76"/>
    <w:rsid w:val="00A64137"/>
    <w:rsid w:val="00A722AE"/>
    <w:rsid w:val="00A91BBD"/>
    <w:rsid w:val="00AB1966"/>
    <w:rsid w:val="00AB4146"/>
    <w:rsid w:val="00AB639C"/>
    <w:rsid w:val="00AC2CFF"/>
    <w:rsid w:val="00AC6BA1"/>
    <w:rsid w:val="00AD0A34"/>
    <w:rsid w:val="00AD415F"/>
    <w:rsid w:val="00AD7182"/>
    <w:rsid w:val="00AE13E7"/>
    <w:rsid w:val="00AE1F7B"/>
    <w:rsid w:val="00B01404"/>
    <w:rsid w:val="00B03044"/>
    <w:rsid w:val="00B14D41"/>
    <w:rsid w:val="00B2000E"/>
    <w:rsid w:val="00B248C0"/>
    <w:rsid w:val="00B3078B"/>
    <w:rsid w:val="00B30F00"/>
    <w:rsid w:val="00B509FF"/>
    <w:rsid w:val="00B55031"/>
    <w:rsid w:val="00B5546C"/>
    <w:rsid w:val="00B6211F"/>
    <w:rsid w:val="00B64974"/>
    <w:rsid w:val="00B92BC6"/>
    <w:rsid w:val="00BA1EFD"/>
    <w:rsid w:val="00BA4D3D"/>
    <w:rsid w:val="00BD2EA3"/>
    <w:rsid w:val="00BD595D"/>
    <w:rsid w:val="00BD5A72"/>
    <w:rsid w:val="00BE3DEC"/>
    <w:rsid w:val="00BF1E34"/>
    <w:rsid w:val="00BF553A"/>
    <w:rsid w:val="00C01305"/>
    <w:rsid w:val="00C0415F"/>
    <w:rsid w:val="00C04AB0"/>
    <w:rsid w:val="00C102EE"/>
    <w:rsid w:val="00C1302F"/>
    <w:rsid w:val="00C36C40"/>
    <w:rsid w:val="00C404F5"/>
    <w:rsid w:val="00C52D79"/>
    <w:rsid w:val="00C57279"/>
    <w:rsid w:val="00C66796"/>
    <w:rsid w:val="00C70580"/>
    <w:rsid w:val="00C95647"/>
    <w:rsid w:val="00CA482A"/>
    <w:rsid w:val="00CB62EF"/>
    <w:rsid w:val="00CC6252"/>
    <w:rsid w:val="00CD3819"/>
    <w:rsid w:val="00CF09F9"/>
    <w:rsid w:val="00CF20E9"/>
    <w:rsid w:val="00D31D96"/>
    <w:rsid w:val="00D356FF"/>
    <w:rsid w:val="00D44BFE"/>
    <w:rsid w:val="00D476D6"/>
    <w:rsid w:val="00D527A9"/>
    <w:rsid w:val="00D57B53"/>
    <w:rsid w:val="00D60FD8"/>
    <w:rsid w:val="00D74099"/>
    <w:rsid w:val="00DA52A3"/>
    <w:rsid w:val="00DA71B8"/>
    <w:rsid w:val="00DB1DC2"/>
    <w:rsid w:val="00DC7DE3"/>
    <w:rsid w:val="00DD3765"/>
    <w:rsid w:val="00DE2C49"/>
    <w:rsid w:val="00DE52EE"/>
    <w:rsid w:val="00DE6DCE"/>
    <w:rsid w:val="00DE79CA"/>
    <w:rsid w:val="00DF37CB"/>
    <w:rsid w:val="00E069F0"/>
    <w:rsid w:val="00E240EC"/>
    <w:rsid w:val="00E46D67"/>
    <w:rsid w:val="00E541F8"/>
    <w:rsid w:val="00E555B3"/>
    <w:rsid w:val="00E6637F"/>
    <w:rsid w:val="00E75B7C"/>
    <w:rsid w:val="00E75E0C"/>
    <w:rsid w:val="00E76109"/>
    <w:rsid w:val="00E80FD2"/>
    <w:rsid w:val="00E8100F"/>
    <w:rsid w:val="00E819EE"/>
    <w:rsid w:val="00E83C18"/>
    <w:rsid w:val="00E93BD4"/>
    <w:rsid w:val="00EA11E2"/>
    <w:rsid w:val="00EA1227"/>
    <w:rsid w:val="00EC1EAA"/>
    <w:rsid w:val="00EC5D41"/>
    <w:rsid w:val="00ED15DD"/>
    <w:rsid w:val="00EE2225"/>
    <w:rsid w:val="00EE5EFA"/>
    <w:rsid w:val="00EE69D8"/>
    <w:rsid w:val="00EF5DD7"/>
    <w:rsid w:val="00EF6BD3"/>
    <w:rsid w:val="00F04077"/>
    <w:rsid w:val="00F052CD"/>
    <w:rsid w:val="00F15CFF"/>
    <w:rsid w:val="00F2483E"/>
    <w:rsid w:val="00F24CB6"/>
    <w:rsid w:val="00F2677C"/>
    <w:rsid w:val="00F30A86"/>
    <w:rsid w:val="00F317A5"/>
    <w:rsid w:val="00F34381"/>
    <w:rsid w:val="00F345BE"/>
    <w:rsid w:val="00F41162"/>
    <w:rsid w:val="00F44540"/>
    <w:rsid w:val="00F55B38"/>
    <w:rsid w:val="00F66FC2"/>
    <w:rsid w:val="00F7425D"/>
    <w:rsid w:val="00F74AFD"/>
    <w:rsid w:val="00F76E70"/>
    <w:rsid w:val="00F771F8"/>
    <w:rsid w:val="00F8136D"/>
    <w:rsid w:val="00F90EA0"/>
    <w:rsid w:val="00F96F39"/>
    <w:rsid w:val="00FA11AE"/>
    <w:rsid w:val="00FA528E"/>
    <w:rsid w:val="00FA57C7"/>
    <w:rsid w:val="00FC0DBC"/>
    <w:rsid w:val="00FC3E61"/>
    <w:rsid w:val="00FE2849"/>
    <w:rsid w:val="00FF5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5D7776F3"/>
  <w15:docId w15:val="{0105A157-8713-4A39-BE3F-CF59C8E9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top w:w="100" w:type="dxa"/>
        <w:left w:w="100" w:type="dxa"/>
        <w:bottom w:w="100" w:type="dxa"/>
        <w:right w:w="100" w:type="dxa"/>
      </w:tblCellMar>
    </w:tbl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E240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40EC"/>
    <w:rPr>
      <w:rFonts w:ascii="Segoe UI" w:hAnsi="Segoe UI" w:cs="Segoe UI"/>
      <w:sz w:val="18"/>
      <w:szCs w:val="18"/>
    </w:rPr>
  </w:style>
  <w:style w:type="character" w:styleId="CommentReference">
    <w:name w:val="annotation reference"/>
    <w:basedOn w:val="DefaultParagraphFont"/>
    <w:uiPriority w:val="99"/>
    <w:semiHidden/>
    <w:unhideWhenUsed/>
    <w:rsid w:val="006A1630"/>
    <w:rPr>
      <w:sz w:val="16"/>
      <w:szCs w:val="16"/>
    </w:rPr>
  </w:style>
  <w:style w:type="paragraph" w:styleId="CommentText">
    <w:name w:val="annotation text"/>
    <w:basedOn w:val="Normal"/>
    <w:link w:val="CommentTextChar"/>
    <w:uiPriority w:val="99"/>
    <w:unhideWhenUsed/>
    <w:rsid w:val="006A1630"/>
    <w:pPr>
      <w:spacing w:line="240" w:lineRule="auto"/>
    </w:pPr>
    <w:rPr>
      <w:sz w:val="20"/>
      <w:szCs w:val="20"/>
    </w:rPr>
  </w:style>
  <w:style w:type="character" w:customStyle="1" w:styleId="CommentTextChar">
    <w:name w:val="Comment Text Char"/>
    <w:basedOn w:val="DefaultParagraphFont"/>
    <w:link w:val="CommentText"/>
    <w:uiPriority w:val="99"/>
    <w:rsid w:val="006A1630"/>
    <w:rPr>
      <w:sz w:val="20"/>
      <w:szCs w:val="20"/>
    </w:rPr>
  </w:style>
  <w:style w:type="paragraph" w:styleId="CommentSubject">
    <w:name w:val="annotation subject"/>
    <w:basedOn w:val="CommentText"/>
    <w:next w:val="CommentText"/>
    <w:link w:val="CommentSubjectChar"/>
    <w:uiPriority w:val="99"/>
    <w:semiHidden/>
    <w:unhideWhenUsed/>
    <w:rsid w:val="006A1630"/>
    <w:rPr>
      <w:b/>
      <w:bCs/>
    </w:rPr>
  </w:style>
  <w:style w:type="character" w:customStyle="1" w:styleId="CommentSubjectChar">
    <w:name w:val="Comment Subject Char"/>
    <w:basedOn w:val="CommentTextChar"/>
    <w:link w:val="CommentSubject"/>
    <w:uiPriority w:val="99"/>
    <w:semiHidden/>
    <w:rsid w:val="006A1630"/>
    <w:rPr>
      <w:b/>
      <w:bCs/>
      <w:sz w:val="20"/>
      <w:szCs w:val="20"/>
    </w:rPr>
  </w:style>
  <w:style w:type="character" w:styleId="Hyperlink">
    <w:name w:val="Hyperlink"/>
    <w:basedOn w:val="DefaultParagraphFont"/>
    <w:uiPriority w:val="99"/>
    <w:unhideWhenUsed/>
    <w:rsid w:val="00FA528E"/>
    <w:rPr>
      <w:color w:val="0000FF" w:themeColor="hyperlink"/>
      <w:u w:val="single"/>
    </w:rPr>
  </w:style>
  <w:style w:type="paragraph" w:styleId="Revision">
    <w:name w:val="Revision"/>
    <w:hidden/>
    <w:uiPriority w:val="99"/>
    <w:semiHidden/>
    <w:rsid w:val="00B01404"/>
    <w:pPr>
      <w:pBdr>
        <w:top w:val="none" w:sz="0" w:space="0" w:color="auto"/>
        <w:left w:val="none" w:sz="0" w:space="0" w:color="auto"/>
        <w:bottom w:val="none" w:sz="0" w:space="0" w:color="auto"/>
        <w:right w:val="none" w:sz="0" w:space="0" w:color="auto"/>
        <w:between w:val="none" w:sz="0" w:space="0" w:color="auto"/>
      </w:pBdr>
      <w:spacing w:after="0" w:line="240" w:lineRule="auto"/>
    </w:pPr>
  </w:style>
  <w:style w:type="character" w:customStyle="1" w:styleId="UnresolvedMention1">
    <w:name w:val="Unresolved Mention1"/>
    <w:basedOn w:val="DefaultParagraphFont"/>
    <w:uiPriority w:val="99"/>
    <w:semiHidden/>
    <w:unhideWhenUsed/>
    <w:rsid w:val="00F15CFF"/>
    <w:rPr>
      <w:color w:val="808080"/>
      <w:shd w:val="clear" w:color="auto" w:fill="E6E6E6"/>
    </w:rPr>
  </w:style>
  <w:style w:type="character" w:styleId="FollowedHyperlink">
    <w:name w:val="FollowedHyperlink"/>
    <w:basedOn w:val="DefaultParagraphFont"/>
    <w:uiPriority w:val="99"/>
    <w:semiHidden/>
    <w:unhideWhenUsed/>
    <w:rsid w:val="00D44BFE"/>
    <w:rPr>
      <w:color w:val="800080" w:themeColor="followedHyperlink"/>
      <w:u w:val="single"/>
    </w:rPr>
  </w:style>
  <w:style w:type="paragraph" w:styleId="ListParagraph">
    <w:name w:val="List Paragraph"/>
    <w:basedOn w:val="Normal"/>
    <w:uiPriority w:val="34"/>
    <w:qFormat/>
    <w:rsid w:val="00F90EA0"/>
    <w:pPr>
      <w:ind w:left="720"/>
      <w:contextualSpacing/>
    </w:pPr>
  </w:style>
  <w:style w:type="character" w:customStyle="1" w:styleId="UnresolvedMention2">
    <w:name w:val="Unresolved Mention2"/>
    <w:basedOn w:val="DefaultParagraphFont"/>
    <w:uiPriority w:val="99"/>
    <w:semiHidden/>
    <w:unhideWhenUsed/>
    <w:rsid w:val="00602A6C"/>
    <w:rPr>
      <w:color w:val="808080"/>
      <w:shd w:val="clear" w:color="auto" w:fill="E6E6E6"/>
    </w:rPr>
  </w:style>
  <w:style w:type="character" w:styleId="Emphasis">
    <w:name w:val="Emphasis"/>
    <w:basedOn w:val="DefaultParagraphFont"/>
    <w:uiPriority w:val="20"/>
    <w:qFormat/>
    <w:rsid w:val="000F17B5"/>
    <w:rPr>
      <w:i/>
      <w:iCs/>
    </w:rPr>
  </w:style>
  <w:style w:type="paragraph" w:styleId="Header">
    <w:name w:val="header"/>
    <w:basedOn w:val="Normal"/>
    <w:link w:val="HeaderChar"/>
    <w:uiPriority w:val="99"/>
    <w:unhideWhenUsed/>
    <w:rsid w:val="005162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62BF"/>
  </w:style>
  <w:style w:type="paragraph" w:styleId="Footer">
    <w:name w:val="footer"/>
    <w:basedOn w:val="Normal"/>
    <w:link w:val="FooterChar"/>
    <w:uiPriority w:val="99"/>
    <w:unhideWhenUsed/>
    <w:rsid w:val="005162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6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dc.gov/foodnetfas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da.gov/Food/GuidanceRegulation/RetailFoodProtection/FoodborneIllnessRiskFactorReductio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cdc.gov/fdoss/nors-dashboard.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cdc.gov/norsdashboar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846EB-DC38-4975-84D6-A32CAF04C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4471</Words>
  <Characters>25489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dc:creator>
  <cp:keywords/>
  <dc:description/>
  <cp:lastModifiedBy>Craig W Hedberg</cp:lastModifiedBy>
  <cp:revision>4</cp:revision>
  <cp:lastPrinted>2019-02-01T22:39:00Z</cp:lastPrinted>
  <dcterms:created xsi:type="dcterms:W3CDTF">2019-03-13T18:52:00Z</dcterms:created>
  <dcterms:modified xsi:type="dcterms:W3CDTF">2019-03-13T19:02:00Z</dcterms:modified>
</cp:coreProperties>
</file>